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CC860">
      <w:pPr>
        <w:ind w:firstLine="0" w:firstLineChars="0"/>
        <w:jc w:val="center"/>
        <w:rPr>
          <w:rFonts w:eastAsia="黑体" w:cs="Times New Roman"/>
          <w:b/>
          <w:sz w:val="40"/>
          <w:szCs w:val="32"/>
        </w:rPr>
      </w:pPr>
    </w:p>
    <w:p w14:paraId="3A7C28AB">
      <w:pPr>
        <w:ind w:firstLine="0" w:firstLineChars="0"/>
        <w:jc w:val="center"/>
        <w:rPr>
          <w:rFonts w:eastAsia="黑体" w:cs="Times New Roman"/>
          <w:b/>
          <w:sz w:val="40"/>
          <w:szCs w:val="32"/>
        </w:rPr>
      </w:pPr>
    </w:p>
    <w:p w14:paraId="42788CE4">
      <w:pPr>
        <w:ind w:firstLine="0" w:firstLineChars="0"/>
        <w:jc w:val="center"/>
        <w:rPr>
          <w:rFonts w:eastAsia="黑体" w:cs="Times New Roman"/>
          <w:b/>
          <w:sz w:val="40"/>
          <w:szCs w:val="32"/>
        </w:rPr>
      </w:pPr>
    </w:p>
    <w:p w14:paraId="347CFDF0">
      <w:pPr>
        <w:pStyle w:val="7"/>
        <w:rPr>
          <w:rFonts w:eastAsia="黑体" w:cs="Times New Roman"/>
          <w:b/>
          <w:sz w:val="40"/>
          <w:szCs w:val="32"/>
        </w:rPr>
      </w:pPr>
    </w:p>
    <w:p w14:paraId="0DF4BF1A">
      <w:pPr>
        <w:pStyle w:val="8"/>
        <w:rPr>
          <w:rFonts w:eastAsia="黑体" w:cs="Times New Roman"/>
          <w:b/>
          <w:sz w:val="40"/>
          <w:szCs w:val="32"/>
        </w:rPr>
      </w:pPr>
    </w:p>
    <w:p w14:paraId="6E43FFB6"/>
    <w:p w14:paraId="50BDA6F9">
      <w:pPr>
        <w:pStyle w:val="8"/>
        <w:keepNext w:val="0"/>
        <w:keepLines w:val="0"/>
        <w:pageBreakBefore w:val="0"/>
        <w:widowControl w:val="0"/>
        <w:kinsoku/>
        <w:wordWrap/>
        <w:overflowPunct/>
        <w:topLinePunct w:val="0"/>
        <w:autoSpaceDE/>
        <w:autoSpaceDN/>
        <w:bidi w:val="0"/>
        <w:adjustRightInd/>
        <w:snapToGrid w:val="0"/>
        <w:spacing w:before="0" w:after="0" w:line="240" w:lineRule="auto"/>
        <w:jc w:val="center"/>
        <w:textAlignment w:val="auto"/>
        <w:rPr>
          <w:rFonts w:ascii="黑体" w:hAnsi="黑体" w:cs="黑体"/>
          <w:b w:val="0"/>
          <w:bCs w:val="0"/>
          <w:position w:val="-23"/>
          <w:sz w:val="48"/>
          <w:szCs w:val="48"/>
        </w:rPr>
      </w:pPr>
      <w:bookmarkStart w:id="0" w:name="_Toc117603435"/>
      <w:bookmarkStart w:id="1" w:name="_Toc27532"/>
      <w:bookmarkStart w:id="2" w:name="_Toc8923"/>
      <w:bookmarkStart w:id="3" w:name="_Toc28278"/>
      <w:bookmarkStart w:id="4" w:name="_Toc513"/>
      <w:bookmarkStart w:id="5" w:name="_Toc1096664515"/>
      <w:bookmarkStart w:id="6" w:name="_Toc117603200"/>
      <w:bookmarkStart w:id="7" w:name="_Toc22461"/>
      <w:bookmarkStart w:id="8" w:name="_Toc29960"/>
      <w:bookmarkStart w:id="9" w:name="_Toc23111"/>
      <w:r>
        <w:rPr>
          <w:rFonts w:hint="eastAsia" w:ascii="黑体" w:hAnsi="黑体" w:cs="黑体"/>
          <w:b w:val="0"/>
          <w:bCs w:val="0"/>
          <w:position w:val="-23"/>
          <w:sz w:val="48"/>
          <w:szCs w:val="48"/>
        </w:rPr>
        <w:t>《生态环境状况公报编制技术规范</w:t>
      </w:r>
      <w:r>
        <w:rPr>
          <w:rFonts w:hint="eastAsia" w:ascii="黑体" w:hAnsi="黑体" w:cs="黑体"/>
          <w:b w:val="0"/>
          <w:bCs w:val="0"/>
          <w:position w:val="-23"/>
          <w:sz w:val="48"/>
          <w:szCs w:val="48"/>
          <w:lang w:eastAsia="zh-CN"/>
        </w:rPr>
        <w:t>（</w:t>
      </w:r>
      <w:r>
        <w:rPr>
          <w:rFonts w:hint="eastAsia" w:ascii="黑体" w:hAnsi="黑体" w:cs="黑体"/>
          <w:b w:val="0"/>
          <w:bCs w:val="0"/>
          <w:position w:val="-23"/>
          <w:sz w:val="48"/>
          <w:szCs w:val="48"/>
          <w:lang w:val="en-US" w:eastAsia="zh-CN"/>
        </w:rPr>
        <w:t>征求意见稿</w:t>
      </w:r>
      <w:r>
        <w:rPr>
          <w:rFonts w:hint="eastAsia" w:ascii="黑体" w:hAnsi="黑体" w:cs="黑体"/>
          <w:b w:val="0"/>
          <w:bCs w:val="0"/>
          <w:position w:val="-23"/>
          <w:sz w:val="48"/>
          <w:szCs w:val="48"/>
          <w:lang w:eastAsia="zh-CN"/>
        </w:rPr>
        <w:t>）</w:t>
      </w:r>
      <w:r>
        <w:rPr>
          <w:rFonts w:hint="eastAsia" w:ascii="黑体" w:hAnsi="黑体" w:cs="黑体"/>
          <w:b w:val="0"/>
          <w:bCs w:val="0"/>
          <w:position w:val="-23"/>
          <w:sz w:val="48"/>
          <w:szCs w:val="48"/>
        </w:rPr>
        <w:t>》</w:t>
      </w:r>
      <w:bookmarkEnd w:id="0"/>
      <w:bookmarkEnd w:id="1"/>
      <w:bookmarkEnd w:id="2"/>
      <w:bookmarkEnd w:id="3"/>
      <w:bookmarkEnd w:id="4"/>
      <w:bookmarkEnd w:id="5"/>
      <w:bookmarkEnd w:id="6"/>
      <w:bookmarkEnd w:id="7"/>
      <w:bookmarkEnd w:id="8"/>
      <w:bookmarkEnd w:id="9"/>
      <w:bookmarkStart w:id="10" w:name="_Toc9535"/>
      <w:bookmarkStart w:id="11" w:name="_Toc14042"/>
      <w:bookmarkStart w:id="12" w:name="_Toc28308"/>
      <w:bookmarkStart w:id="13" w:name="_Toc4346"/>
      <w:bookmarkStart w:id="14" w:name="_Toc28807"/>
      <w:bookmarkStart w:id="15" w:name="_Toc117603436"/>
      <w:bookmarkStart w:id="16" w:name="_Toc14266"/>
      <w:bookmarkStart w:id="17" w:name="_Toc4254"/>
      <w:bookmarkStart w:id="18" w:name="_Toc117603201"/>
      <w:bookmarkStart w:id="19" w:name="_Toc1935845051"/>
      <w:bookmarkStart w:id="68" w:name="_GoBack"/>
      <w:bookmarkEnd w:id="68"/>
      <w:r>
        <w:rPr>
          <w:rFonts w:hint="eastAsia" w:ascii="黑体" w:hAnsi="黑体" w:cs="黑体"/>
          <w:b w:val="0"/>
          <w:bCs w:val="0"/>
          <w:position w:val="-23"/>
          <w:sz w:val="48"/>
          <w:szCs w:val="48"/>
        </w:rPr>
        <w:t>编制说明</w:t>
      </w:r>
      <w:bookmarkEnd w:id="10"/>
      <w:bookmarkEnd w:id="11"/>
      <w:bookmarkEnd w:id="12"/>
      <w:bookmarkEnd w:id="13"/>
      <w:bookmarkEnd w:id="14"/>
      <w:bookmarkEnd w:id="15"/>
      <w:bookmarkEnd w:id="16"/>
      <w:bookmarkEnd w:id="17"/>
      <w:bookmarkEnd w:id="18"/>
      <w:bookmarkEnd w:id="19"/>
    </w:p>
    <w:p w14:paraId="006C7E51">
      <w:pPr>
        <w:ind w:firstLine="480"/>
        <w:rPr>
          <w:rFonts w:cs="Times New Roman"/>
        </w:rPr>
      </w:pPr>
    </w:p>
    <w:p w14:paraId="10460B23">
      <w:pPr>
        <w:ind w:firstLine="480"/>
        <w:rPr>
          <w:rFonts w:cs="Times New Roman"/>
        </w:rPr>
      </w:pPr>
    </w:p>
    <w:p w14:paraId="03C9EF9D">
      <w:pPr>
        <w:ind w:firstLine="480"/>
        <w:rPr>
          <w:rFonts w:cs="Times New Roman"/>
        </w:rPr>
      </w:pPr>
    </w:p>
    <w:p w14:paraId="41C4CD24">
      <w:pPr>
        <w:ind w:firstLine="480"/>
        <w:rPr>
          <w:rFonts w:cs="Times New Roman"/>
        </w:rPr>
      </w:pPr>
    </w:p>
    <w:p w14:paraId="74223EEB">
      <w:pPr>
        <w:ind w:firstLine="480"/>
        <w:rPr>
          <w:rFonts w:cs="Times New Roman"/>
        </w:rPr>
      </w:pPr>
    </w:p>
    <w:p w14:paraId="7DED2A4D">
      <w:pPr>
        <w:ind w:firstLine="480"/>
        <w:rPr>
          <w:rFonts w:cs="Times New Roman"/>
        </w:rPr>
      </w:pPr>
    </w:p>
    <w:p w14:paraId="232B9AF0">
      <w:pPr>
        <w:ind w:firstLine="480"/>
        <w:rPr>
          <w:rFonts w:cs="Times New Roman"/>
        </w:rPr>
      </w:pPr>
    </w:p>
    <w:p w14:paraId="2EF04F36">
      <w:pPr>
        <w:ind w:firstLine="480"/>
        <w:rPr>
          <w:rFonts w:cs="Times New Roman"/>
        </w:rPr>
      </w:pPr>
    </w:p>
    <w:p w14:paraId="4F2C2838">
      <w:pPr>
        <w:ind w:firstLine="480"/>
        <w:rPr>
          <w:rFonts w:cs="Times New Roman"/>
        </w:rPr>
      </w:pPr>
    </w:p>
    <w:p w14:paraId="511CAB14">
      <w:pPr>
        <w:pStyle w:val="23"/>
        <w:rPr>
          <w:rFonts w:cs="Times New Roman"/>
        </w:rPr>
      </w:pPr>
    </w:p>
    <w:p w14:paraId="217CE514">
      <w:pPr>
        <w:ind w:firstLine="480"/>
        <w:rPr>
          <w:rFonts w:cs="Times New Roman"/>
        </w:rPr>
      </w:pPr>
    </w:p>
    <w:p w14:paraId="004D2EE3">
      <w:pPr>
        <w:ind w:firstLine="480"/>
        <w:rPr>
          <w:rFonts w:cs="Times New Roman"/>
        </w:rPr>
      </w:pPr>
    </w:p>
    <w:p w14:paraId="5488C87C">
      <w:pPr>
        <w:ind w:firstLine="480"/>
        <w:rPr>
          <w:rFonts w:cs="Times New Roman"/>
        </w:rPr>
      </w:pPr>
    </w:p>
    <w:p w14:paraId="2978412C">
      <w:pPr>
        <w:ind w:firstLine="480"/>
        <w:rPr>
          <w:rFonts w:cs="Times New Roman"/>
        </w:rPr>
      </w:pPr>
    </w:p>
    <w:p w14:paraId="12B9F5BF">
      <w:pPr>
        <w:adjustRightInd/>
        <w:ind w:right="-94" w:rightChars="-39" w:firstLine="0" w:firstLineChars="0"/>
        <w:jc w:val="center"/>
        <w:rPr>
          <w:rFonts w:ascii="黑体" w:hAnsi="黑体" w:eastAsia="黑体" w:cs="黑体"/>
          <w:position w:val="-23"/>
          <w:sz w:val="36"/>
          <w:szCs w:val="36"/>
        </w:rPr>
      </w:pPr>
      <w:r>
        <w:rPr>
          <w:rFonts w:hint="eastAsia" w:ascii="黑体" w:hAnsi="黑体" w:eastAsia="黑体" w:cs="黑体"/>
          <w:position w:val="-23"/>
          <w:sz w:val="36"/>
          <w:szCs w:val="36"/>
        </w:rPr>
        <w:t>《生态环境状况公报编制技术规范》标准编制组</w:t>
      </w:r>
    </w:p>
    <w:p w14:paraId="074C88B0">
      <w:pPr>
        <w:adjustRightInd/>
        <w:ind w:right="-94" w:rightChars="-39" w:firstLine="0" w:firstLineChars="0"/>
        <w:jc w:val="center"/>
        <w:rPr>
          <w:rFonts w:eastAsia="黑体" w:cs="Times New Roman"/>
          <w:b/>
          <w:color w:val="000000"/>
          <w:sz w:val="36"/>
          <w:szCs w:val="36"/>
        </w:rPr>
      </w:pPr>
      <w:r>
        <w:rPr>
          <w:rFonts w:hint="eastAsia" w:ascii="黑体" w:hAnsi="黑体" w:eastAsia="黑体" w:cs="黑体"/>
          <w:position w:val="-23"/>
          <w:sz w:val="36"/>
          <w:szCs w:val="36"/>
        </w:rPr>
        <w:t>2</w:t>
      </w:r>
      <w:r>
        <w:rPr>
          <w:rFonts w:ascii="黑体" w:hAnsi="黑体" w:eastAsia="黑体" w:cs="黑体"/>
          <w:position w:val="-23"/>
          <w:sz w:val="36"/>
          <w:szCs w:val="36"/>
        </w:rPr>
        <w:t>02</w:t>
      </w:r>
      <w:r>
        <w:rPr>
          <w:rFonts w:hint="eastAsia" w:ascii="黑体" w:hAnsi="黑体" w:eastAsia="黑体" w:cs="黑体"/>
          <w:position w:val="-23"/>
          <w:sz w:val="36"/>
          <w:szCs w:val="36"/>
          <w:lang w:val="en-US" w:eastAsia="zh-CN"/>
        </w:rPr>
        <w:t>5</w:t>
      </w:r>
      <w:r>
        <w:rPr>
          <w:rFonts w:hint="eastAsia" w:ascii="黑体" w:hAnsi="黑体" w:eastAsia="黑体" w:cs="黑体"/>
          <w:position w:val="-23"/>
          <w:sz w:val="36"/>
          <w:szCs w:val="36"/>
        </w:rPr>
        <w:t>年</w:t>
      </w:r>
      <w:r>
        <w:rPr>
          <w:rFonts w:hint="eastAsia" w:ascii="黑体" w:hAnsi="黑体" w:eastAsia="黑体" w:cs="黑体"/>
          <w:position w:val="-23"/>
          <w:sz w:val="36"/>
          <w:szCs w:val="36"/>
          <w:lang w:val="en-US" w:eastAsia="zh-CN"/>
        </w:rPr>
        <w:t>8</w:t>
      </w:r>
      <w:r>
        <w:rPr>
          <w:rFonts w:hint="eastAsia" w:ascii="黑体" w:hAnsi="黑体" w:eastAsia="黑体" w:cs="黑体"/>
          <w:position w:val="-23"/>
          <w:sz w:val="36"/>
          <w:szCs w:val="36"/>
        </w:rPr>
        <w:t>月</w:t>
      </w:r>
    </w:p>
    <w:p w14:paraId="3BF06EB8">
      <w:pPr>
        <w:widowControl/>
        <w:adjustRightInd/>
        <w:snapToGrid/>
        <w:spacing w:line="240" w:lineRule="auto"/>
        <w:ind w:firstLine="0" w:firstLineChars="0"/>
        <w:jc w:val="left"/>
        <w:rPr>
          <w:rFonts w:eastAsia="黑体" w:cs="Times New Roman"/>
          <w:b/>
          <w:color w:val="000000"/>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7398CC66">
      <w:pPr>
        <w:ind w:firstLine="0" w:firstLineChars="0"/>
        <w:jc w:val="center"/>
        <w:rPr>
          <w:rFonts w:eastAsia="黑体" w:cs="Times New Roman"/>
          <w:bCs/>
          <w:sz w:val="44"/>
          <w:szCs w:val="44"/>
        </w:rPr>
      </w:pPr>
      <w:r>
        <w:rPr>
          <w:rFonts w:hint="eastAsia" w:eastAsia="黑体" w:cs="Times New Roman"/>
          <w:bCs/>
          <w:sz w:val="44"/>
          <w:szCs w:val="44"/>
        </w:rPr>
        <w:t>目  录</w:t>
      </w:r>
    </w:p>
    <w:p w14:paraId="6B8F47DA">
      <w:pPr>
        <w:pStyle w:val="15"/>
        <w:tabs>
          <w:tab w:val="right" w:leader="dot" w:pos="8306"/>
          <w:tab w:val="clear" w:pos="8296"/>
        </w:tabs>
      </w:pPr>
      <w:r>
        <w:rPr>
          <w:rFonts w:cs="Times New Roman"/>
          <w:b w:val="0"/>
          <w:sz w:val="21"/>
          <w:szCs w:val="21"/>
        </w:rPr>
        <w:fldChar w:fldCharType="begin"/>
      </w:r>
      <w:r>
        <w:rPr>
          <w:rFonts w:cs="Times New Roman"/>
          <w:b w:val="0"/>
          <w:sz w:val="21"/>
          <w:szCs w:val="21"/>
        </w:rPr>
        <w:instrText xml:space="preserve"> TOC \o "1-3" \h \z \u </w:instrText>
      </w:r>
      <w:r>
        <w:rPr>
          <w:rFonts w:cs="Times New Roman"/>
          <w:b w:val="0"/>
          <w:sz w:val="21"/>
          <w:szCs w:val="21"/>
        </w:rPr>
        <w:fldChar w:fldCharType="separate"/>
      </w:r>
    </w:p>
    <w:p w14:paraId="1C10BCF4">
      <w:pPr>
        <w:keepNext w:val="0"/>
        <w:keepLines w:val="0"/>
        <w:pageBreakBefore w:val="0"/>
        <w:widowControl w:val="0"/>
        <w:kinsoku/>
        <w:wordWrap/>
        <w:overflowPunct/>
        <w:topLinePunct w:val="0"/>
        <w:autoSpaceDE/>
        <w:autoSpaceDN/>
        <w:bidi w:val="0"/>
        <w:adjustRightInd w:val="0"/>
        <w:snapToGrid w:val="0"/>
        <w:spacing w:before="157" w:beforeLines="50" w:after="157" w:afterLines="50"/>
        <w:ind w:left="0" w:leftChars="0" w:firstLine="0" w:firstLineChars="0"/>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HYPERLINK \l _Toc2098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eastAsia="zh-CN"/>
        </w:rPr>
        <w:t>一、项目背景……………………………………………………………</w:t>
      </w: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PAGEREF _Toc2098 \h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eastAsia="zh-CN"/>
        </w:rPr>
        <w:t>1</w:t>
      </w:r>
      <w:r>
        <w:rPr>
          <w:rFonts w:hint="eastAsia" w:ascii="黑体" w:hAnsi="黑体" w:eastAsia="黑体" w:cs="黑体"/>
          <w:sz w:val="28"/>
          <w:szCs w:val="28"/>
          <w:lang w:eastAsia="zh-CN"/>
        </w:rPr>
        <w:fldChar w:fldCharType="end"/>
      </w:r>
      <w:r>
        <w:rPr>
          <w:rFonts w:hint="eastAsia" w:ascii="黑体" w:hAnsi="黑体" w:eastAsia="黑体" w:cs="黑体"/>
          <w:sz w:val="28"/>
          <w:szCs w:val="28"/>
          <w:lang w:eastAsia="zh-CN"/>
        </w:rPr>
        <w:fldChar w:fldCharType="end"/>
      </w:r>
    </w:p>
    <w:p w14:paraId="47D606DA">
      <w:pPr>
        <w:keepNext w:val="0"/>
        <w:keepLines w:val="0"/>
        <w:pageBreakBefore w:val="0"/>
        <w:widowControl w:val="0"/>
        <w:kinsoku/>
        <w:wordWrap/>
        <w:overflowPunct/>
        <w:topLinePunct w:val="0"/>
        <w:autoSpaceDE/>
        <w:autoSpaceDN/>
        <w:bidi w:val="0"/>
        <w:adjustRightInd w:val="0"/>
        <w:snapToGrid w:val="0"/>
        <w:spacing w:before="157" w:beforeLines="50" w:after="157" w:afterLines="50"/>
        <w:ind w:left="0" w:leftChars="0" w:firstLine="0" w:firstLineChars="0"/>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HYPERLINK \l _Toc19654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eastAsia="zh-CN"/>
        </w:rPr>
        <w:t>二、项目立项目的与意义………………………………………………</w:t>
      </w: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PAGEREF _Toc19654 \h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eastAsia="zh-CN"/>
        </w:rPr>
        <w:t>1</w:t>
      </w:r>
      <w:r>
        <w:rPr>
          <w:rFonts w:hint="eastAsia" w:ascii="黑体" w:hAnsi="黑体" w:eastAsia="黑体" w:cs="黑体"/>
          <w:sz w:val="28"/>
          <w:szCs w:val="28"/>
          <w:lang w:eastAsia="zh-CN"/>
        </w:rPr>
        <w:fldChar w:fldCharType="end"/>
      </w:r>
      <w:r>
        <w:rPr>
          <w:rFonts w:hint="eastAsia" w:ascii="黑体" w:hAnsi="黑体" w:eastAsia="黑体" w:cs="黑体"/>
          <w:sz w:val="28"/>
          <w:szCs w:val="28"/>
          <w:lang w:eastAsia="zh-CN"/>
        </w:rPr>
        <w:fldChar w:fldCharType="end"/>
      </w:r>
    </w:p>
    <w:p w14:paraId="3864B642">
      <w:pPr>
        <w:keepNext w:val="0"/>
        <w:keepLines w:val="0"/>
        <w:pageBreakBefore w:val="0"/>
        <w:widowControl w:val="0"/>
        <w:kinsoku/>
        <w:wordWrap/>
        <w:overflowPunct/>
        <w:topLinePunct w:val="0"/>
        <w:autoSpaceDE/>
        <w:autoSpaceDN/>
        <w:bidi w:val="0"/>
        <w:adjustRightInd w:val="0"/>
        <w:snapToGrid w:val="0"/>
        <w:spacing w:before="157" w:beforeLines="50" w:after="157" w:afterLines="50"/>
        <w:ind w:left="0" w:leftChars="0" w:firstLine="0" w:firstLineChars="0"/>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HYPERLINK \l _Toc19396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eastAsia="zh-CN"/>
        </w:rPr>
        <w:t>三、工作过程……………………………………………………………</w:t>
      </w: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PAGEREF _Toc19396 \h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eastAsia="zh-CN"/>
        </w:rPr>
        <w:t>2</w:t>
      </w:r>
      <w:r>
        <w:rPr>
          <w:rFonts w:hint="eastAsia" w:ascii="黑体" w:hAnsi="黑体" w:eastAsia="黑体" w:cs="黑体"/>
          <w:sz w:val="28"/>
          <w:szCs w:val="28"/>
          <w:lang w:eastAsia="zh-CN"/>
        </w:rPr>
        <w:fldChar w:fldCharType="end"/>
      </w:r>
      <w:r>
        <w:rPr>
          <w:rFonts w:hint="eastAsia" w:ascii="黑体" w:hAnsi="黑体" w:eastAsia="黑体" w:cs="黑体"/>
          <w:sz w:val="28"/>
          <w:szCs w:val="28"/>
          <w:lang w:eastAsia="zh-CN"/>
        </w:rPr>
        <w:fldChar w:fldCharType="end"/>
      </w:r>
    </w:p>
    <w:p w14:paraId="1DB761F6">
      <w:pPr>
        <w:keepNext w:val="0"/>
        <w:keepLines w:val="0"/>
        <w:pageBreakBefore w:val="0"/>
        <w:widowControl w:val="0"/>
        <w:kinsoku/>
        <w:wordWrap/>
        <w:overflowPunct/>
        <w:topLinePunct w:val="0"/>
        <w:autoSpaceDE/>
        <w:autoSpaceDN/>
        <w:bidi w:val="0"/>
        <w:adjustRightInd w:val="0"/>
        <w:snapToGrid w:val="0"/>
        <w:spacing w:before="157" w:beforeLines="50" w:after="157" w:afterLines="50"/>
        <w:ind w:left="0" w:leftChars="0" w:firstLine="0" w:firstLineChars="0"/>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HYPERLINK \l _Toc17993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eastAsia="zh-CN"/>
        </w:rPr>
        <w:t>四、国内外</w:t>
      </w:r>
      <w:r>
        <w:rPr>
          <w:rFonts w:hint="eastAsia" w:ascii="黑体" w:hAnsi="黑体" w:eastAsia="黑体" w:cs="黑体"/>
          <w:sz w:val="28"/>
          <w:szCs w:val="28"/>
          <w:lang w:val="en-US" w:eastAsia="zh-CN"/>
        </w:rPr>
        <w:t>相关</w:t>
      </w:r>
      <w:r>
        <w:rPr>
          <w:rFonts w:hint="eastAsia" w:ascii="黑体" w:hAnsi="黑体" w:eastAsia="黑体" w:cs="黑体"/>
          <w:sz w:val="28"/>
          <w:szCs w:val="28"/>
          <w:lang w:eastAsia="zh-CN"/>
        </w:rPr>
        <w:t>情况……………………………………………………</w:t>
      </w: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PAGEREF _Toc17993 \h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eastAsia="zh-CN"/>
        </w:rPr>
        <w:t>3</w:t>
      </w:r>
      <w:r>
        <w:rPr>
          <w:rFonts w:hint="eastAsia" w:ascii="黑体" w:hAnsi="黑体" w:eastAsia="黑体" w:cs="黑体"/>
          <w:sz w:val="28"/>
          <w:szCs w:val="28"/>
          <w:lang w:eastAsia="zh-CN"/>
        </w:rPr>
        <w:fldChar w:fldCharType="end"/>
      </w:r>
      <w:r>
        <w:rPr>
          <w:rFonts w:hint="eastAsia" w:ascii="黑体" w:hAnsi="黑体" w:eastAsia="黑体" w:cs="黑体"/>
          <w:sz w:val="28"/>
          <w:szCs w:val="28"/>
          <w:lang w:eastAsia="zh-CN"/>
        </w:rPr>
        <w:fldChar w:fldCharType="end"/>
      </w:r>
    </w:p>
    <w:p w14:paraId="14752BA7">
      <w:pPr>
        <w:keepNext w:val="0"/>
        <w:keepLines w:val="0"/>
        <w:pageBreakBefore w:val="0"/>
        <w:widowControl w:val="0"/>
        <w:kinsoku/>
        <w:wordWrap/>
        <w:overflowPunct/>
        <w:topLinePunct w:val="0"/>
        <w:autoSpaceDE/>
        <w:autoSpaceDN/>
        <w:bidi w:val="0"/>
        <w:adjustRightInd w:val="0"/>
        <w:snapToGrid w:val="0"/>
        <w:spacing w:before="157" w:beforeLines="50" w:after="157" w:afterLines="50"/>
        <w:ind w:left="0" w:leftChars="0" w:firstLine="0" w:firstLineChars="0"/>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HYPERLINK \l _Toc5939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val="en-US" w:eastAsia="zh-CN"/>
        </w:rPr>
        <w:t>五、文件内容结构</w:t>
      </w:r>
      <w:r>
        <w:rPr>
          <w:rFonts w:hint="eastAsia" w:ascii="黑体" w:hAnsi="黑体" w:eastAsia="黑体" w:cs="黑体"/>
          <w:sz w:val="28"/>
          <w:szCs w:val="28"/>
          <w:lang w:eastAsia="zh-CN"/>
        </w:rPr>
        <w:t>………………………………………………………</w:t>
      </w: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PAGEREF _Toc5939 \h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eastAsia="zh-CN"/>
        </w:rPr>
        <w:t>7</w:t>
      </w:r>
      <w:r>
        <w:rPr>
          <w:rFonts w:hint="eastAsia" w:ascii="黑体" w:hAnsi="黑体" w:eastAsia="黑体" w:cs="黑体"/>
          <w:sz w:val="28"/>
          <w:szCs w:val="28"/>
          <w:lang w:eastAsia="zh-CN"/>
        </w:rPr>
        <w:fldChar w:fldCharType="end"/>
      </w:r>
      <w:r>
        <w:rPr>
          <w:rFonts w:hint="eastAsia" w:ascii="黑体" w:hAnsi="黑体" w:eastAsia="黑体" w:cs="黑体"/>
          <w:sz w:val="28"/>
          <w:szCs w:val="28"/>
          <w:lang w:eastAsia="zh-CN"/>
        </w:rPr>
        <w:fldChar w:fldCharType="end"/>
      </w:r>
    </w:p>
    <w:p w14:paraId="34042D23">
      <w:pPr>
        <w:keepNext w:val="0"/>
        <w:keepLines w:val="0"/>
        <w:pageBreakBefore w:val="0"/>
        <w:widowControl w:val="0"/>
        <w:kinsoku/>
        <w:wordWrap/>
        <w:overflowPunct/>
        <w:topLinePunct w:val="0"/>
        <w:autoSpaceDE/>
        <w:autoSpaceDN/>
        <w:bidi w:val="0"/>
        <w:adjustRightInd w:val="0"/>
        <w:snapToGrid w:val="0"/>
        <w:spacing w:before="157" w:beforeLines="50" w:after="157" w:afterLines="50"/>
        <w:ind w:left="0" w:leftChars="0" w:firstLine="0" w:firstLineChars="0"/>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HYPERLINK \l _Toc11832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val="en-US" w:eastAsia="zh-CN"/>
        </w:rPr>
        <w:t>六、主要内容说明</w:t>
      </w:r>
      <w:r>
        <w:rPr>
          <w:rFonts w:hint="eastAsia" w:ascii="黑体" w:hAnsi="黑体" w:eastAsia="黑体" w:cs="黑体"/>
          <w:sz w:val="28"/>
          <w:szCs w:val="28"/>
          <w:lang w:eastAsia="zh-CN"/>
        </w:rPr>
        <w:t>………………………………………………………</w:t>
      </w:r>
      <w:r>
        <w:rPr>
          <w:rFonts w:hint="eastAsia" w:ascii="黑体" w:hAnsi="黑体" w:eastAsia="黑体" w:cs="黑体"/>
          <w:sz w:val="28"/>
          <w:szCs w:val="28"/>
          <w:lang w:eastAsia="zh-CN"/>
        </w:rPr>
        <w:fldChar w:fldCharType="begin"/>
      </w:r>
      <w:r>
        <w:rPr>
          <w:rFonts w:hint="eastAsia" w:ascii="黑体" w:hAnsi="黑体" w:eastAsia="黑体" w:cs="黑体"/>
          <w:sz w:val="28"/>
          <w:szCs w:val="28"/>
          <w:lang w:eastAsia="zh-CN"/>
        </w:rPr>
        <w:instrText xml:space="preserve"> PAGEREF _Toc11832 \h </w:instrText>
      </w:r>
      <w:r>
        <w:rPr>
          <w:rFonts w:hint="eastAsia" w:ascii="黑体" w:hAnsi="黑体" w:eastAsia="黑体" w:cs="黑体"/>
          <w:sz w:val="28"/>
          <w:szCs w:val="28"/>
          <w:lang w:eastAsia="zh-CN"/>
        </w:rPr>
        <w:fldChar w:fldCharType="separate"/>
      </w:r>
      <w:r>
        <w:rPr>
          <w:rFonts w:hint="eastAsia" w:ascii="黑体" w:hAnsi="黑体" w:eastAsia="黑体" w:cs="黑体"/>
          <w:sz w:val="28"/>
          <w:szCs w:val="28"/>
          <w:lang w:eastAsia="zh-CN"/>
        </w:rPr>
        <w:t>7</w:t>
      </w:r>
      <w:r>
        <w:rPr>
          <w:rFonts w:hint="eastAsia" w:ascii="黑体" w:hAnsi="黑体" w:eastAsia="黑体" w:cs="黑体"/>
          <w:sz w:val="28"/>
          <w:szCs w:val="28"/>
          <w:lang w:eastAsia="zh-CN"/>
        </w:rPr>
        <w:fldChar w:fldCharType="end"/>
      </w:r>
      <w:r>
        <w:rPr>
          <w:rFonts w:hint="eastAsia" w:ascii="黑体" w:hAnsi="黑体" w:eastAsia="黑体" w:cs="黑体"/>
          <w:sz w:val="28"/>
          <w:szCs w:val="28"/>
          <w:lang w:eastAsia="zh-CN"/>
        </w:rPr>
        <w:fldChar w:fldCharType="end"/>
      </w:r>
    </w:p>
    <w:p w14:paraId="51756252">
      <w:pPr>
        <w:pStyle w:val="23"/>
        <w:rPr>
          <w:rFonts w:ascii="Times New Roman" w:hAnsi="Times New Roman" w:eastAsia="黑体" w:cs="Times New Roman"/>
          <w:b/>
          <w:sz w:val="30"/>
          <w:szCs w:val="30"/>
        </w:rPr>
        <w:sectPr>
          <w:footerReference r:id="rId11" w:type="default"/>
          <w:pgSz w:w="11906" w:h="16838"/>
          <w:pgMar w:top="1440" w:right="1800" w:bottom="1440" w:left="1800" w:header="851" w:footer="992" w:gutter="0"/>
          <w:pgNumType w:fmt="upperRoman" w:start="1"/>
          <w:cols w:space="425" w:num="1"/>
          <w:docGrid w:type="lines" w:linePitch="312" w:charSpace="0"/>
        </w:sectPr>
      </w:pPr>
      <w:r>
        <w:rPr>
          <w:rFonts w:ascii="Times New Roman" w:hAnsi="Times New Roman" w:cs="Times New Roman"/>
          <w:kern w:val="2"/>
          <w:szCs w:val="21"/>
        </w:rPr>
        <w:fldChar w:fldCharType="end"/>
      </w:r>
    </w:p>
    <w:p w14:paraId="63E2813C">
      <w:pPr>
        <w:pStyle w:val="2"/>
        <w:keepNext/>
        <w:keepLines/>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黑体"/>
          <w:position w:val="-23"/>
          <w:sz w:val="32"/>
          <w:szCs w:val="32"/>
        </w:rPr>
      </w:pPr>
      <w:bookmarkStart w:id="20" w:name="_Toc16714"/>
      <w:bookmarkStart w:id="21" w:name="_Toc117603437"/>
      <w:bookmarkStart w:id="22" w:name="_Toc16088"/>
      <w:bookmarkStart w:id="23" w:name="_Toc2098"/>
      <w:bookmarkStart w:id="24" w:name="_Toc50124638"/>
      <w:r>
        <w:rPr>
          <w:rFonts w:hint="eastAsia" w:ascii="黑体" w:hAnsi="黑体" w:eastAsia="黑体" w:cs="黑体"/>
          <w:position w:val="-23"/>
          <w:sz w:val="32"/>
          <w:szCs w:val="32"/>
        </w:rPr>
        <w:t>一、项目背景</w:t>
      </w:r>
      <w:bookmarkEnd w:id="20"/>
      <w:bookmarkEnd w:id="21"/>
      <w:bookmarkEnd w:id="22"/>
      <w:bookmarkEnd w:id="23"/>
    </w:p>
    <w:p w14:paraId="3EC8C420">
      <w:pPr>
        <w:keepNext w:val="0"/>
        <w:keepLines w:val="0"/>
        <w:pageBreakBefore w:val="0"/>
        <w:widowControl w:val="0"/>
        <w:kinsoku/>
        <w:wordWrap/>
        <w:overflowPunct/>
        <w:topLinePunct w:val="0"/>
        <w:autoSpaceDE/>
        <w:autoSpaceDN/>
        <w:bidi w:val="0"/>
        <w:adjustRightInd w:val="0"/>
        <w:snapToGrid w:val="0"/>
        <w:ind w:firstLine="560"/>
        <w:textAlignment w:val="auto"/>
        <w:rPr>
          <w:rFonts w:hint="eastAsia" w:ascii="Times New Roman" w:hAnsi="Times New Roman" w:eastAsia="宋体" w:cs="Times New Roman"/>
          <w:sz w:val="28"/>
          <w:szCs w:val="28"/>
          <w:lang w:eastAsia="zh-CN"/>
        </w:rPr>
      </w:pPr>
      <w:r>
        <w:rPr>
          <w:rFonts w:hint="eastAsia" w:ascii="Times New Roman" w:hAnsi="Times New Roman" w:eastAsia="宋体" w:cs="Times New Roman"/>
          <w:sz w:val="28"/>
          <w:szCs w:val="28"/>
          <w:lang w:eastAsia="zh-CN"/>
        </w:rPr>
        <w:t>生态环境状况公报是反映生态环境质量及其变化趋势的重要载体，是政府向公众报告生态环境保护工作成效、接受社会监督的重要途径。编制和发布生态环境状况公报，对于提高公众生态环境意识、推动生态环境治理体系和治理能力现代化具有重要意义。</w:t>
      </w:r>
    </w:p>
    <w:p w14:paraId="263F0B9C">
      <w:pPr>
        <w:keepNext w:val="0"/>
        <w:keepLines w:val="0"/>
        <w:pageBreakBefore w:val="0"/>
        <w:widowControl w:val="0"/>
        <w:kinsoku/>
        <w:wordWrap/>
        <w:overflowPunct/>
        <w:topLinePunct w:val="0"/>
        <w:autoSpaceDE/>
        <w:autoSpaceDN/>
        <w:bidi w:val="0"/>
        <w:adjustRightInd w:val="0"/>
        <w:snapToGrid w:val="0"/>
        <w:ind w:firstLine="560"/>
        <w:textAlignment w:val="auto"/>
        <w:rPr>
          <w:rFonts w:hint="eastAsia" w:ascii="Times New Roman" w:hAnsi="Times New Roman" w:eastAsia="宋体" w:cs="Times New Roman"/>
          <w:sz w:val="28"/>
          <w:szCs w:val="28"/>
          <w:lang w:eastAsia="zh-CN"/>
        </w:rPr>
      </w:pPr>
      <w:r>
        <w:rPr>
          <w:rFonts w:hint="eastAsia" w:ascii="Times New Roman" w:hAnsi="Times New Roman" w:eastAsia="宋体" w:cs="Times New Roman"/>
          <w:sz w:val="28"/>
          <w:szCs w:val="28"/>
          <w:lang w:eastAsia="zh-CN"/>
        </w:rPr>
        <w:t>为了规范生态环境状况公报的编制工作，提高公报的科学性、权威性和实用性，满足生态环境管理和公众对生态环境信息的需求，依据《中华人民共和国环境保护法》等法律法规，以及生态环境监测、评价等相关标准和规范，结合</w:t>
      </w:r>
      <w:r>
        <w:rPr>
          <w:rFonts w:hint="eastAsia" w:ascii="Times New Roman" w:hAnsi="Times New Roman" w:eastAsia="宋体" w:cs="Times New Roman"/>
          <w:sz w:val="28"/>
          <w:szCs w:val="28"/>
          <w:lang w:val="en-US" w:eastAsia="zh-CN"/>
        </w:rPr>
        <w:t>广东省</w:t>
      </w:r>
      <w:r>
        <w:rPr>
          <w:rFonts w:hint="eastAsia" w:ascii="Times New Roman" w:hAnsi="Times New Roman" w:eastAsia="宋体" w:cs="Times New Roman"/>
          <w:sz w:val="28"/>
          <w:szCs w:val="28"/>
          <w:lang w:eastAsia="zh-CN"/>
        </w:rPr>
        <w:t>实践经验，制定本标准。</w:t>
      </w:r>
    </w:p>
    <w:p w14:paraId="1444613F">
      <w:pPr>
        <w:pStyle w:val="2"/>
        <w:keepNext/>
        <w:keepLines/>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黑体"/>
          <w:position w:val="-23"/>
          <w:sz w:val="32"/>
          <w:szCs w:val="32"/>
        </w:rPr>
      </w:pPr>
      <w:bookmarkStart w:id="25" w:name="_Toc117603438"/>
      <w:bookmarkStart w:id="26" w:name="_Toc19654"/>
      <w:bookmarkStart w:id="27" w:name="_Toc14417"/>
      <w:bookmarkStart w:id="28" w:name="_Toc25763"/>
      <w:r>
        <w:rPr>
          <w:rFonts w:hint="eastAsia" w:ascii="黑体" w:hAnsi="黑体" w:eastAsia="黑体" w:cs="黑体"/>
          <w:position w:val="-23"/>
          <w:sz w:val="32"/>
          <w:szCs w:val="32"/>
        </w:rPr>
        <w:t>二、项目立项目的与意义</w:t>
      </w:r>
      <w:bookmarkEnd w:id="25"/>
      <w:bookmarkEnd w:id="26"/>
      <w:bookmarkEnd w:id="27"/>
      <w:bookmarkEnd w:id="28"/>
    </w:p>
    <w:p w14:paraId="5AE77052">
      <w:pPr>
        <w:ind w:firstLine="560"/>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1.适应政策法规要求，强化公报合规性</w:t>
      </w:r>
    </w:p>
    <w:p w14:paraId="7CD95165">
      <w:pPr>
        <w:ind w:firstLine="560"/>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eastAsia="zh-CN"/>
        </w:rPr>
        <w:t>《中华人民共和国环境保护法》第五十四条</w:t>
      </w:r>
      <w:r>
        <w:rPr>
          <w:rFonts w:hint="eastAsia" w:ascii="Times New Roman" w:hAnsi="Times New Roman" w:eastAsia="宋体" w:cs="Times New Roman"/>
          <w:sz w:val="28"/>
          <w:szCs w:val="28"/>
          <w:lang w:val="en-US" w:eastAsia="zh-CN"/>
        </w:rPr>
        <w:t>规定</w:t>
      </w:r>
      <w:r>
        <w:rPr>
          <w:rFonts w:hint="eastAsia" w:ascii="Times New Roman" w:hAnsi="Times New Roman" w:eastAsia="宋体" w:cs="Times New Roman"/>
          <w:sz w:val="28"/>
          <w:szCs w:val="28"/>
          <w:lang w:eastAsia="zh-CN"/>
        </w:rPr>
        <w:t>“国务院环境保护主管部门统一发布国家环境质量、重点污染源监测信息及其他重大环境信息。省级以上人民政府环境保护主管部门定期发布环境状况公报。”生态环境状况公报是各级政府生态环境部门公布的关于国家或地区生态环境质量状况的文件，是公众了解一个国家或地区生态环境质量状况的重要途径，也是公众参与生态环境保护、实施社会监督的重要条件之一。</w:t>
      </w:r>
      <w:r>
        <w:rPr>
          <w:rFonts w:hint="eastAsia" w:ascii="Times New Roman" w:hAnsi="Times New Roman" w:eastAsia="宋体" w:cs="Times New Roman"/>
          <w:sz w:val="28"/>
          <w:szCs w:val="28"/>
          <w:lang w:val="en-US" w:eastAsia="zh-CN"/>
        </w:rPr>
        <w:t>生态环境公报编制需与最新政策法规衔接，制定本标准旨在确保公报内容符合国家生态环境保护战略，满足政策合规性要求。</w:t>
      </w:r>
    </w:p>
    <w:p w14:paraId="396874D6">
      <w:pPr>
        <w:ind w:firstLine="560"/>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2.规范编制流程与内容，提升公报质量</w:t>
      </w:r>
    </w:p>
    <w:p w14:paraId="6DEE27AD">
      <w:pPr>
        <w:ind w:firstLine="560"/>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通过标准明确生态环境状况公报从收集资料、汇总编辑、排版校对等各个环节的具体要求和操作流程，确保公报编制的系统性、全面性与一致性，避免因编制方法差异导致信息偏差和混乱，为各级生态环境部门及相关机构提供统一、标准化的公报编制框架与依据，使编制出的公报能够准确、客观地反映区域生态环境状况。同时</w:t>
      </w:r>
      <w:r>
        <w:rPr>
          <w:rFonts w:hint="eastAsia" w:ascii="Times New Roman" w:hAnsi="Times New Roman" w:eastAsia="宋体" w:cs="Times New Roman"/>
          <w:sz w:val="28"/>
          <w:szCs w:val="28"/>
          <w:lang w:eastAsia="zh-CN"/>
        </w:rPr>
        <w:t>规定数据来源的权威性和准确性要求，保障生态环境数据的真实、有效与可追溯，从而增强生态环境状况公报的科学性和公信力，为生态环境决策提供坚实的数据支撑。</w:t>
      </w:r>
    </w:p>
    <w:p w14:paraId="30651D29">
      <w:pPr>
        <w:ind w:firstLine="560"/>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3.规范标准格式，提升公报的可读性与实用性</w:t>
      </w:r>
    </w:p>
    <w:p w14:paraId="27619D1D">
      <w:pPr>
        <w:ind w:firstLine="560"/>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规范公报的格式、语言表达和呈现方式，强调信息的清晰、简洁与易于理解，突出重点内容和关键结论，提高公报的可读性，增强其对政府决策部门、社会各界公众以及相关科研机构等不同受众的吸引力和实用性，促进生态环境信息的有效传播和广泛应用，推动公众对生态环境问题的关注和参与。</w:t>
      </w:r>
    </w:p>
    <w:p w14:paraId="3CBA932B">
      <w:pPr>
        <w:ind w:firstLine="560"/>
        <w:rPr>
          <w:rFonts w:hint="eastAsia" w:ascii="Times New Roman" w:hAnsi="Times New Roman" w:eastAsia="宋体" w:cs="Times New Roman"/>
          <w:sz w:val="28"/>
          <w:szCs w:val="28"/>
          <w:lang w:eastAsia="zh-CN"/>
        </w:rPr>
      </w:pPr>
      <w:r>
        <w:rPr>
          <w:rFonts w:hint="eastAsia" w:ascii="Times New Roman" w:hAnsi="Times New Roman" w:eastAsia="宋体" w:cs="Times New Roman"/>
          <w:sz w:val="28"/>
          <w:szCs w:val="28"/>
          <w:lang w:eastAsia="zh-CN"/>
        </w:rPr>
        <w:t>以广东省为例，每年广东省生态环境厅都会发布上一年度的《广东省生态环境状况公报》。该公报中生态环境状况数据以广东省生态环境监测网络数据为主，同时使用广东省相关部门提供的有关环境数据。广东省各地级以上市生态环境局也有编制当地的生态环境状况公报，但各地的内容和形式有所差异。因此，制定《生态环境状况公报编制技术规范》，可为各地编制生态环境状况公报提供参考依据，有助于提高生态环境状况公报编制的规范性和准确性。</w:t>
      </w:r>
    </w:p>
    <w:p w14:paraId="2B82E890">
      <w:pPr>
        <w:ind w:firstLine="560"/>
        <w:rPr>
          <w:rFonts w:hint="eastAsia"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总之，制定</w:t>
      </w:r>
      <w:r>
        <w:rPr>
          <w:rFonts w:hint="eastAsia" w:ascii="Times New Roman" w:hAnsi="Times New Roman" w:eastAsia="宋体" w:cs="Times New Roman"/>
          <w:sz w:val="28"/>
          <w:szCs w:val="28"/>
          <w:lang w:eastAsia="zh-CN"/>
        </w:rPr>
        <w:t>《生态环境状况公报编制技术规范》是</w:t>
      </w:r>
      <w:r>
        <w:rPr>
          <w:rFonts w:hint="eastAsia" w:ascii="Times New Roman" w:hAnsi="Times New Roman" w:eastAsia="宋体" w:cs="Times New Roman"/>
          <w:sz w:val="28"/>
          <w:szCs w:val="28"/>
          <w:lang w:val="en-US" w:eastAsia="zh-CN"/>
        </w:rPr>
        <w:t>当前生态环境</w:t>
      </w:r>
      <w:r>
        <w:rPr>
          <w:rFonts w:hint="eastAsia" w:ascii="Times New Roman" w:hAnsi="Times New Roman" w:eastAsia="宋体" w:cs="Times New Roman"/>
          <w:sz w:val="28"/>
          <w:szCs w:val="28"/>
          <w:lang w:eastAsia="zh-CN"/>
        </w:rPr>
        <w:t>政策、技术、管理需求的必然选择，</w:t>
      </w:r>
      <w:r>
        <w:rPr>
          <w:rFonts w:hint="eastAsia" w:ascii="Times New Roman" w:hAnsi="Times New Roman" w:eastAsia="宋体" w:cs="Times New Roman"/>
          <w:sz w:val="28"/>
          <w:szCs w:val="28"/>
          <w:lang w:val="en-US" w:eastAsia="zh-CN"/>
        </w:rPr>
        <w:t>是我国生态环境</w:t>
      </w:r>
      <w:r>
        <w:rPr>
          <w:rFonts w:hint="eastAsia" w:ascii="Times New Roman" w:hAnsi="Times New Roman" w:eastAsia="宋体" w:cs="Times New Roman"/>
          <w:sz w:val="28"/>
          <w:szCs w:val="28"/>
          <w:lang w:eastAsia="zh-CN"/>
        </w:rPr>
        <w:t>法规、技术与</w:t>
      </w:r>
      <w:r>
        <w:rPr>
          <w:rFonts w:hint="eastAsia" w:ascii="Times New Roman" w:hAnsi="Times New Roman" w:eastAsia="宋体" w:cs="Times New Roman"/>
          <w:sz w:val="28"/>
          <w:szCs w:val="28"/>
          <w:lang w:val="en-US" w:eastAsia="zh-CN"/>
        </w:rPr>
        <w:t>管理</w:t>
      </w:r>
      <w:r>
        <w:rPr>
          <w:rFonts w:hint="eastAsia" w:ascii="Times New Roman" w:hAnsi="Times New Roman" w:eastAsia="宋体" w:cs="Times New Roman"/>
          <w:sz w:val="28"/>
          <w:szCs w:val="28"/>
          <w:lang w:eastAsia="zh-CN"/>
        </w:rPr>
        <w:t>的现实要求，目的在于构建科学、透明的公报编制</w:t>
      </w:r>
      <w:r>
        <w:rPr>
          <w:rFonts w:hint="eastAsia" w:ascii="Times New Roman" w:hAnsi="Times New Roman" w:eastAsia="宋体" w:cs="Times New Roman"/>
          <w:sz w:val="28"/>
          <w:szCs w:val="28"/>
          <w:lang w:val="en-US" w:eastAsia="zh-CN"/>
        </w:rPr>
        <w:t>标准</w:t>
      </w:r>
      <w:r>
        <w:rPr>
          <w:rFonts w:hint="eastAsia" w:ascii="Times New Roman" w:hAnsi="Times New Roman" w:eastAsia="宋体" w:cs="Times New Roman"/>
          <w:sz w:val="28"/>
          <w:szCs w:val="28"/>
          <w:lang w:eastAsia="zh-CN"/>
        </w:rPr>
        <w:t>，为生态环境决策提供坚实的</w:t>
      </w:r>
      <w:r>
        <w:rPr>
          <w:rFonts w:hint="eastAsia" w:ascii="Times New Roman" w:hAnsi="Times New Roman" w:eastAsia="宋体" w:cs="Times New Roman"/>
          <w:sz w:val="28"/>
          <w:szCs w:val="28"/>
          <w:lang w:val="en-US" w:eastAsia="zh-CN"/>
        </w:rPr>
        <w:t>科学</w:t>
      </w:r>
      <w:r>
        <w:rPr>
          <w:rFonts w:hint="eastAsia" w:ascii="Times New Roman" w:hAnsi="Times New Roman" w:eastAsia="宋体" w:cs="Times New Roman"/>
          <w:sz w:val="28"/>
          <w:szCs w:val="28"/>
          <w:lang w:eastAsia="zh-CN"/>
        </w:rPr>
        <w:t>数据支撑。</w:t>
      </w:r>
    </w:p>
    <w:p w14:paraId="1B6C7A51">
      <w:pPr>
        <w:pStyle w:val="2"/>
        <w:keepNext/>
        <w:keepLines/>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黑体"/>
          <w:position w:val="-23"/>
          <w:sz w:val="32"/>
          <w:szCs w:val="32"/>
        </w:rPr>
      </w:pPr>
      <w:bookmarkStart w:id="29" w:name="_Toc28170"/>
      <w:bookmarkStart w:id="30" w:name="_Toc19396"/>
      <w:bookmarkStart w:id="31" w:name="_Toc117603445"/>
      <w:bookmarkStart w:id="32" w:name="_Toc11696"/>
      <w:r>
        <w:rPr>
          <w:rFonts w:hint="eastAsia" w:ascii="黑体" w:hAnsi="黑体" w:eastAsia="黑体" w:cs="黑体"/>
          <w:position w:val="-23"/>
          <w:sz w:val="32"/>
          <w:szCs w:val="32"/>
        </w:rPr>
        <w:t>三、工作过程</w:t>
      </w:r>
      <w:bookmarkEnd w:id="29"/>
      <w:bookmarkEnd w:id="30"/>
      <w:bookmarkEnd w:id="31"/>
      <w:bookmarkEnd w:id="32"/>
    </w:p>
    <w:p w14:paraId="0B9BBB55">
      <w:pPr>
        <w:ind w:firstLine="560"/>
        <w:rPr>
          <w:sz w:val="28"/>
          <w:szCs w:val="28"/>
        </w:rPr>
      </w:pPr>
      <w:r>
        <w:rPr>
          <w:sz w:val="28"/>
          <w:szCs w:val="28"/>
        </w:rPr>
        <w:t>20</w:t>
      </w:r>
      <w:r>
        <w:rPr>
          <w:rFonts w:hint="eastAsia"/>
          <w:sz w:val="28"/>
          <w:szCs w:val="28"/>
        </w:rPr>
        <w:t>2</w:t>
      </w:r>
      <w:r>
        <w:rPr>
          <w:rFonts w:hint="eastAsia"/>
          <w:sz w:val="28"/>
          <w:szCs w:val="28"/>
          <w:lang w:val="en-US" w:eastAsia="zh-CN"/>
        </w:rPr>
        <w:t>5</w:t>
      </w:r>
      <w:r>
        <w:rPr>
          <w:rFonts w:hint="eastAsia"/>
          <w:sz w:val="28"/>
          <w:szCs w:val="28"/>
        </w:rPr>
        <w:t>年</w:t>
      </w:r>
      <w:r>
        <w:rPr>
          <w:rFonts w:hint="eastAsia"/>
          <w:sz w:val="28"/>
          <w:szCs w:val="28"/>
          <w:lang w:val="en-US" w:eastAsia="zh-CN"/>
        </w:rPr>
        <w:t>4</w:t>
      </w:r>
      <w:r>
        <w:rPr>
          <w:rFonts w:hint="eastAsia"/>
          <w:sz w:val="28"/>
          <w:szCs w:val="28"/>
        </w:rPr>
        <w:t>月，收到《关于征集202</w:t>
      </w:r>
      <w:r>
        <w:rPr>
          <w:rFonts w:hint="eastAsia"/>
          <w:sz w:val="28"/>
          <w:szCs w:val="28"/>
          <w:lang w:val="en-US" w:eastAsia="zh-CN"/>
        </w:rPr>
        <w:t>5</w:t>
      </w:r>
      <w:r>
        <w:rPr>
          <w:rFonts w:hint="eastAsia"/>
          <w:sz w:val="28"/>
          <w:szCs w:val="28"/>
        </w:rPr>
        <w:t>年度第一批广东省环境科学学会标准项目的通知》（粤环学</w:t>
      </w:r>
      <w:r>
        <w:rPr>
          <w:rFonts w:hint="eastAsia"/>
          <w:sz w:val="28"/>
          <w:szCs w:val="28"/>
          <w:lang w:eastAsia="zh-CN"/>
        </w:rPr>
        <w:t>〔</w:t>
      </w:r>
      <w:r>
        <w:rPr>
          <w:sz w:val="28"/>
          <w:szCs w:val="28"/>
        </w:rPr>
        <w:t>20</w:t>
      </w:r>
      <w:r>
        <w:rPr>
          <w:rFonts w:hint="eastAsia"/>
          <w:sz w:val="28"/>
          <w:szCs w:val="28"/>
        </w:rPr>
        <w:t>2</w:t>
      </w:r>
      <w:r>
        <w:rPr>
          <w:rFonts w:hint="eastAsia"/>
          <w:sz w:val="28"/>
          <w:szCs w:val="28"/>
          <w:lang w:val="en-US" w:eastAsia="zh-CN"/>
        </w:rPr>
        <w:t>5</w:t>
      </w:r>
      <w:r>
        <w:rPr>
          <w:rFonts w:hint="eastAsia"/>
          <w:sz w:val="28"/>
          <w:szCs w:val="28"/>
          <w:lang w:eastAsia="zh-CN"/>
        </w:rPr>
        <w:t>〕</w:t>
      </w:r>
      <w:r>
        <w:rPr>
          <w:rFonts w:hint="eastAsia"/>
          <w:sz w:val="28"/>
          <w:szCs w:val="28"/>
          <w:lang w:val="en-US" w:eastAsia="zh-CN"/>
        </w:rPr>
        <w:t>8</w:t>
      </w:r>
      <w:r>
        <w:rPr>
          <w:rFonts w:hint="eastAsia"/>
          <w:sz w:val="28"/>
          <w:szCs w:val="28"/>
        </w:rPr>
        <w:t>号），征集生态环境领域</w:t>
      </w:r>
      <w:r>
        <w:rPr>
          <w:rFonts w:hint="eastAsia"/>
          <w:sz w:val="28"/>
          <w:szCs w:val="28"/>
          <w:lang w:val="en-US" w:eastAsia="zh-CN"/>
        </w:rPr>
        <w:t>产品</w:t>
      </w:r>
      <w:r>
        <w:rPr>
          <w:rFonts w:hint="eastAsia"/>
          <w:sz w:val="28"/>
          <w:szCs w:val="28"/>
        </w:rPr>
        <w:t xml:space="preserve">、技术、管理和工作标准规范及其相关内容。 </w:t>
      </w:r>
    </w:p>
    <w:p w14:paraId="01870890">
      <w:pPr>
        <w:widowControl/>
        <w:ind w:firstLine="560"/>
        <w:jc w:val="left"/>
        <w:rPr>
          <w:rFonts w:hint="eastAsia" w:ascii="Times New Roman" w:hAnsi="Times New Roman" w:eastAsia="宋体" w:cs="Times New Roman"/>
          <w:sz w:val="28"/>
          <w:szCs w:val="28"/>
          <w:lang w:eastAsia="zh-CN"/>
        </w:rPr>
      </w:pPr>
      <w:r>
        <w:rPr>
          <w:rFonts w:cs="Times New Roman"/>
          <w:color w:val="000000"/>
          <w:kern w:val="0"/>
          <w:sz w:val="28"/>
          <w:szCs w:val="28"/>
          <w:lang w:bidi="ar"/>
        </w:rPr>
        <w:t>20</w:t>
      </w:r>
      <w:r>
        <w:rPr>
          <w:rFonts w:hint="eastAsia" w:cs="Times New Roman"/>
          <w:color w:val="000000"/>
          <w:kern w:val="0"/>
          <w:sz w:val="28"/>
          <w:szCs w:val="28"/>
          <w:lang w:bidi="ar"/>
        </w:rPr>
        <w:t>2</w:t>
      </w:r>
      <w:r>
        <w:rPr>
          <w:rFonts w:hint="eastAsia" w:ascii="Times New Roman" w:hAnsi="Times New Roman" w:eastAsia="宋体" w:cs="Times New Roman"/>
          <w:sz w:val="28"/>
          <w:szCs w:val="28"/>
          <w:lang w:val="en-US" w:eastAsia="zh-CN"/>
        </w:rPr>
        <w:t>5</w:t>
      </w:r>
      <w:r>
        <w:rPr>
          <w:rFonts w:hint="eastAsia" w:ascii="Times New Roman" w:hAnsi="Times New Roman" w:eastAsia="宋体" w:cs="Times New Roman"/>
          <w:sz w:val="28"/>
          <w:szCs w:val="28"/>
          <w:lang w:eastAsia="zh-CN"/>
        </w:rPr>
        <w:t>年</w:t>
      </w:r>
      <w:r>
        <w:rPr>
          <w:rFonts w:hint="eastAsia" w:ascii="Times New Roman" w:hAnsi="Times New Roman" w:eastAsia="宋体" w:cs="Times New Roman"/>
          <w:sz w:val="28"/>
          <w:szCs w:val="28"/>
          <w:lang w:val="en-US" w:eastAsia="zh-CN"/>
        </w:rPr>
        <w:t>4-6</w:t>
      </w:r>
      <w:r>
        <w:rPr>
          <w:rFonts w:hint="eastAsia" w:ascii="Times New Roman" w:hAnsi="Times New Roman" w:eastAsia="宋体" w:cs="Times New Roman"/>
          <w:sz w:val="28"/>
          <w:szCs w:val="28"/>
          <w:lang w:eastAsia="zh-CN"/>
        </w:rPr>
        <w:t>月，标准牵头单位</w:t>
      </w:r>
      <w:r>
        <w:rPr>
          <w:rFonts w:hint="eastAsia" w:ascii="Times New Roman" w:hAnsi="Times New Roman" w:eastAsia="宋体" w:cs="Times New Roman"/>
          <w:sz w:val="28"/>
          <w:szCs w:val="28"/>
          <w:lang w:val="en-US" w:eastAsia="zh-CN"/>
        </w:rPr>
        <w:t>广东省环境保护宣传教育中心</w:t>
      </w:r>
      <w:r>
        <w:rPr>
          <w:rFonts w:hint="eastAsia" w:ascii="Times New Roman" w:hAnsi="Times New Roman" w:eastAsia="宋体" w:cs="Times New Roman"/>
          <w:sz w:val="28"/>
          <w:szCs w:val="28"/>
          <w:lang w:eastAsia="zh-CN"/>
        </w:rPr>
        <w:t xml:space="preserve">组织开展《生态环境状况公报编制技术规范》立项前期研究工作，收集整理了有关生态环境状况公报的相关技术规范、参考文献、环保法规和标准等资料。 </w:t>
      </w:r>
    </w:p>
    <w:p w14:paraId="1ECF1766">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2025年7月，编制完成《生态环境状况公报编制技术规范》标准立项申报材料，并向广东省环境科学学会报送立项。</w:t>
      </w:r>
    </w:p>
    <w:p w14:paraId="1B54DB5B">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2025年7月24日，广东省环科科学学会组织召开《生态环境状况公报编制技术规范》团体标准立项论证暨专家咨询会，编制组根据专家</w:t>
      </w:r>
      <w:r>
        <w:rPr>
          <w:rFonts w:hint="eastAsia" w:cs="Times New Roman"/>
          <w:sz w:val="28"/>
          <w:szCs w:val="28"/>
          <w:lang w:val="en-US" w:eastAsia="zh-CN"/>
        </w:rPr>
        <w:t>意见</w:t>
      </w:r>
      <w:r>
        <w:rPr>
          <w:rFonts w:hint="eastAsia" w:ascii="Times New Roman" w:hAnsi="Times New Roman" w:eastAsia="宋体" w:cs="Times New Roman"/>
          <w:sz w:val="28"/>
          <w:szCs w:val="28"/>
          <w:lang w:val="en-US" w:eastAsia="zh-CN"/>
        </w:rPr>
        <w:t>进行了修订。</w:t>
      </w:r>
    </w:p>
    <w:p w14:paraId="7B95606A">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202</w:t>
      </w:r>
      <w:r>
        <w:rPr>
          <w:rFonts w:hint="eastAsia"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val="en-US" w:eastAsia="zh-CN"/>
        </w:rPr>
        <w:t>年</w:t>
      </w:r>
      <w:r>
        <w:rPr>
          <w:rFonts w:hint="eastAsia" w:ascii="Times New Roman" w:hAnsi="Times New Roman" w:eastAsia="宋体" w:cs="Times New Roman"/>
          <w:sz w:val="28"/>
          <w:szCs w:val="28"/>
          <w:lang w:val="en-US" w:eastAsia="zh-CN"/>
        </w:rPr>
        <w:t>8</w:t>
      </w:r>
      <w:r>
        <w:rPr>
          <w:rFonts w:hint="default" w:ascii="Times New Roman" w:hAnsi="Times New Roman" w:eastAsia="宋体" w:cs="Times New Roman"/>
          <w:sz w:val="28"/>
          <w:szCs w:val="28"/>
          <w:lang w:val="en-US" w:eastAsia="zh-CN"/>
        </w:rPr>
        <w:t>月</w:t>
      </w:r>
      <w:r>
        <w:rPr>
          <w:rFonts w:hint="eastAsia" w:ascii="Times New Roman" w:hAnsi="Times New Roman" w:eastAsia="宋体" w:cs="Times New Roman"/>
          <w:sz w:val="28"/>
          <w:szCs w:val="28"/>
          <w:lang w:val="en-US" w:eastAsia="zh-CN"/>
        </w:rPr>
        <w:t>7</w:t>
      </w:r>
      <w:r>
        <w:rPr>
          <w:rFonts w:hint="default" w:ascii="Times New Roman" w:hAnsi="Times New Roman" w:eastAsia="宋体" w:cs="Times New Roman"/>
          <w:sz w:val="28"/>
          <w:szCs w:val="28"/>
          <w:lang w:val="en-US" w:eastAsia="zh-CN"/>
        </w:rPr>
        <w:t>日</w:t>
      </w:r>
      <w:r>
        <w:rPr>
          <w:rFonts w:hint="eastAsia" w:ascii="Times New Roman" w:hAnsi="Times New Roman" w:eastAsia="宋体" w:cs="Times New Roman"/>
          <w:sz w:val="28"/>
          <w:szCs w:val="28"/>
          <w:lang w:val="en-US" w:eastAsia="zh-CN"/>
        </w:rPr>
        <w:t>，广东省</w:t>
      </w:r>
      <w:r>
        <w:rPr>
          <w:rFonts w:hint="eastAsia" w:cs="Times New Roman"/>
          <w:sz w:val="28"/>
          <w:szCs w:val="28"/>
          <w:lang w:val="en-US" w:eastAsia="zh-CN"/>
        </w:rPr>
        <w:t>环境</w:t>
      </w:r>
      <w:r>
        <w:rPr>
          <w:rFonts w:hint="eastAsia" w:ascii="Times New Roman" w:hAnsi="Times New Roman" w:eastAsia="宋体" w:cs="Times New Roman"/>
          <w:sz w:val="28"/>
          <w:szCs w:val="28"/>
          <w:lang w:val="en-US" w:eastAsia="zh-CN"/>
        </w:rPr>
        <w:t>科学学会印发《</w:t>
      </w:r>
      <w:r>
        <w:rPr>
          <w:rFonts w:hint="default" w:ascii="Times New Roman" w:hAnsi="Times New Roman" w:eastAsia="宋体" w:cs="Times New Roman"/>
          <w:sz w:val="28"/>
          <w:szCs w:val="28"/>
          <w:lang w:val="en-US" w:eastAsia="zh-CN"/>
        </w:rPr>
        <w:t>广东省环境科学学会关于</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生态环境状况公报编制技术规范</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团体标准项目立项的通知</w:t>
      </w:r>
      <w:r>
        <w:rPr>
          <w:rFonts w:hint="eastAsia" w:ascii="Times New Roman" w:hAnsi="Times New Roman" w:eastAsia="宋体" w:cs="Times New Roman"/>
          <w:sz w:val="28"/>
          <w:szCs w:val="28"/>
          <w:lang w:val="en-US" w:eastAsia="zh-CN"/>
        </w:rPr>
        <w:t>》，《生态环境状况公报编制技术规范》团体标准正式立项。</w:t>
      </w:r>
    </w:p>
    <w:p w14:paraId="4C1B4D4D">
      <w:pPr>
        <w:pStyle w:val="2"/>
        <w:keepNext/>
        <w:keepLines/>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黑体"/>
          <w:position w:val="-23"/>
          <w:sz w:val="32"/>
          <w:szCs w:val="32"/>
        </w:rPr>
      </w:pPr>
      <w:bookmarkStart w:id="33" w:name="_Toc8482"/>
      <w:bookmarkStart w:id="34" w:name="_Toc117603446"/>
      <w:bookmarkStart w:id="35" w:name="_Toc7547"/>
      <w:bookmarkStart w:id="36" w:name="_Toc17993"/>
      <w:r>
        <w:rPr>
          <w:rFonts w:hint="eastAsia" w:ascii="黑体" w:hAnsi="黑体" w:eastAsia="黑体" w:cs="黑体"/>
          <w:position w:val="-23"/>
          <w:sz w:val="32"/>
          <w:szCs w:val="32"/>
        </w:rPr>
        <w:t>四、</w:t>
      </w:r>
      <w:bookmarkEnd w:id="33"/>
      <w:bookmarkEnd w:id="34"/>
      <w:bookmarkEnd w:id="35"/>
      <w:r>
        <w:rPr>
          <w:rFonts w:hint="eastAsia" w:ascii="黑体" w:hAnsi="黑体" w:eastAsia="黑体" w:cs="黑体"/>
          <w:position w:val="-23"/>
          <w:sz w:val="32"/>
          <w:szCs w:val="32"/>
        </w:rPr>
        <w:t>国内外</w:t>
      </w:r>
      <w:r>
        <w:rPr>
          <w:rFonts w:hint="eastAsia" w:ascii="黑体" w:hAnsi="黑体" w:eastAsia="黑体" w:cs="黑体"/>
          <w:position w:val="-23"/>
          <w:sz w:val="32"/>
          <w:szCs w:val="32"/>
          <w:lang w:val="en-US" w:eastAsia="zh-CN"/>
        </w:rPr>
        <w:t>相关</w:t>
      </w:r>
      <w:r>
        <w:rPr>
          <w:rFonts w:hint="eastAsia" w:ascii="黑体" w:hAnsi="黑体" w:eastAsia="黑体" w:cs="黑体"/>
          <w:position w:val="-23"/>
          <w:sz w:val="32"/>
          <w:szCs w:val="32"/>
        </w:rPr>
        <w:t>情况</w:t>
      </w:r>
      <w:bookmarkEnd w:id="36"/>
    </w:p>
    <w:p w14:paraId="6468A6E4">
      <w:pPr>
        <w:widowControl/>
        <w:ind w:firstLine="560"/>
        <w:jc w:val="left"/>
        <w:rPr>
          <w:rFonts w:hint="eastAsia" w:ascii="Times New Roman" w:hAnsi="Times New Roman" w:eastAsia="宋体" w:cs="Times New Roman"/>
          <w:b/>
          <w:bCs/>
          <w:sz w:val="28"/>
          <w:szCs w:val="28"/>
          <w:lang w:eastAsia="zh-CN"/>
        </w:rPr>
      </w:pPr>
      <w:r>
        <w:rPr>
          <w:rFonts w:hint="eastAsia" w:ascii="Times New Roman" w:hAnsi="Times New Roman" w:eastAsia="宋体" w:cs="Times New Roman"/>
          <w:b/>
          <w:bCs/>
          <w:sz w:val="28"/>
          <w:szCs w:val="28"/>
          <w:lang w:val="en-US" w:eastAsia="zh-CN"/>
        </w:rPr>
        <w:t>1.</w:t>
      </w:r>
      <w:r>
        <w:rPr>
          <w:rFonts w:hint="default" w:ascii="Times New Roman" w:hAnsi="Times New Roman" w:eastAsia="宋体" w:cs="Times New Roman"/>
          <w:b/>
          <w:bCs/>
          <w:sz w:val="28"/>
          <w:szCs w:val="28"/>
          <w:lang w:eastAsia="zh-CN"/>
        </w:rPr>
        <w:t>国内情况</w:t>
      </w:r>
    </w:p>
    <w:p w14:paraId="3F04E6ED">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（1）国家</w:t>
      </w:r>
    </w:p>
    <w:p w14:paraId="76B6B50B">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根据《中华人民共和国环境保护法》规定，国务院生态环境主管部门会同国务院有关部门编制年度环境质量报告，向国务院报告，国务院生态环境主管部门定期发布环境公报。</w:t>
      </w:r>
    </w:p>
    <w:p w14:paraId="6B2F9703">
      <w:pPr>
        <w:widowControl/>
        <w:ind w:firstLine="560"/>
        <w:jc w:val="left"/>
        <w:rPr>
          <w:rFonts w:hint="eastAsia"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自1984年起，生态环境部会同有关部门每年6 月 5 日左右发布上一年度《中国生态环境状况公报》，此外，各级生态环境部门也会定期或不定期发布本地区的生态环境状况公报。</w:t>
      </w:r>
    </w:p>
    <w:p w14:paraId="3EA76B20">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公报内容涵盖大气、水、土壤、噪声、生态、辐射等环境要素的质量状况及变化趋势，还会提及各类污染防治、生态保护与建设等工作进展。采用了一系列具体的指标来定量描述生态环境质量状况，如地级及以上城市细颗粒物（PM2.5）平均浓度、空气质量优良天数比例、地表水I～Ⅲ类水质断面比例、劣Ⅴ类水质断面比例、土壤重点风险监控点重金属含量等。</w:t>
      </w:r>
    </w:p>
    <w:p w14:paraId="5FC2527F">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数据主要来源于生态环境部门的监测网络以及其他相关部门提供的资料。随着监测技术的不断进步和质量管理的加强，数据的准确性、可靠性和代表性逐渐提高，为公报的科学性奠定了坚实基础。</w:t>
      </w:r>
    </w:p>
    <w:p w14:paraId="55337C42">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生态环境状况公报已成为政府部门制定政策、进行环境管理和决策的重要依据，引起社会各界广泛关注，对</w:t>
      </w:r>
      <w:r>
        <w:rPr>
          <w:rFonts w:hint="eastAsia" w:cs="Times New Roman"/>
          <w:sz w:val="28"/>
          <w:szCs w:val="28"/>
          <w:lang w:val="en-US" w:eastAsia="zh-CN"/>
        </w:rPr>
        <w:t>增强</w:t>
      </w:r>
      <w:r>
        <w:rPr>
          <w:rFonts w:hint="default" w:ascii="Times New Roman" w:hAnsi="Times New Roman" w:eastAsia="宋体" w:cs="Times New Roman"/>
          <w:sz w:val="28"/>
          <w:szCs w:val="28"/>
          <w:lang w:val="en-US" w:eastAsia="zh-CN"/>
        </w:rPr>
        <w:t>公众环保意识、促进企业治污减排、推动生态环境质量改善发挥了积极作用。</w:t>
      </w:r>
    </w:p>
    <w:p w14:paraId="7C18ADE2">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（2）广东省</w:t>
      </w:r>
    </w:p>
    <w:p w14:paraId="3CE690A5">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广东省生态环境状况公报由广东省生态环境厅牵头编制，联合自然资源、</w:t>
      </w:r>
      <w:r>
        <w:rPr>
          <w:rFonts w:hint="eastAsia" w:ascii="Times New Roman" w:hAnsi="Times New Roman" w:eastAsia="宋体" w:cs="Times New Roman"/>
          <w:sz w:val="28"/>
          <w:szCs w:val="28"/>
          <w:lang w:val="en-US" w:eastAsia="zh-CN"/>
        </w:rPr>
        <w:t>住房和城乡建设、</w:t>
      </w:r>
      <w:r>
        <w:rPr>
          <w:rFonts w:hint="default" w:ascii="Times New Roman" w:hAnsi="Times New Roman" w:eastAsia="宋体" w:cs="Times New Roman"/>
          <w:sz w:val="28"/>
          <w:szCs w:val="28"/>
          <w:lang w:val="en-US" w:eastAsia="zh-CN"/>
        </w:rPr>
        <w:t>水利、农业农村等多部门协同完成，最终以省生态环境厅名义发布。</w:t>
      </w:r>
    </w:p>
    <w:p w14:paraId="453A69D0">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通常于次年4</w:t>
      </w:r>
      <w:r>
        <w:rPr>
          <w:rFonts w:hint="eastAsia" w:ascii="Times New Roman" w:hAnsi="Times New Roman" w:eastAsia="宋体" w:cs="Times New Roman"/>
          <w:sz w:val="28"/>
          <w:szCs w:val="28"/>
          <w:lang w:val="en-US" w:eastAsia="zh-CN"/>
        </w:rPr>
        <w:t>-</w:t>
      </w:r>
      <w:r>
        <w:rPr>
          <w:rFonts w:hint="eastAsia" w:cs="Times New Roman"/>
          <w:sz w:val="28"/>
          <w:szCs w:val="28"/>
          <w:lang w:val="en-US" w:eastAsia="zh-CN"/>
        </w:rPr>
        <w:t>7月</w:t>
      </w:r>
      <w:r>
        <w:rPr>
          <w:rFonts w:hint="default" w:ascii="Times New Roman" w:hAnsi="Times New Roman" w:eastAsia="宋体" w:cs="Times New Roman"/>
          <w:sz w:val="28"/>
          <w:szCs w:val="28"/>
          <w:lang w:val="en-US" w:eastAsia="zh-CN"/>
        </w:rPr>
        <w:t>发布上一年度公报，部分年度数据会在次年1月提前通过新闻发布会通报。</w:t>
      </w:r>
    </w:p>
    <w:p w14:paraId="4228686F">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主要内容中，</w:t>
      </w:r>
      <w:r>
        <w:rPr>
          <w:rFonts w:hint="default" w:ascii="Times New Roman" w:hAnsi="Times New Roman" w:eastAsia="宋体" w:cs="Times New Roman"/>
          <w:sz w:val="28"/>
          <w:szCs w:val="28"/>
          <w:lang w:val="en-US" w:eastAsia="zh-CN"/>
        </w:rPr>
        <w:t>环境质量涵盖</w:t>
      </w:r>
      <w:r>
        <w:rPr>
          <w:rFonts w:hint="eastAsia" w:ascii="Times New Roman" w:hAnsi="Times New Roman" w:eastAsia="宋体" w:cs="Times New Roman"/>
          <w:sz w:val="28"/>
          <w:szCs w:val="28"/>
          <w:lang w:val="en-US" w:eastAsia="zh-CN"/>
        </w:rPr>
        <w:t>大气环境</w:t>
      </w:r>
      <w:r>
        <w:rPr>
          <w:rFonts w:hint="default" w:ascii="Times New Roman" w:hAnsi="Times New Roman" w:eastAsia="宋体" w:cs="Times New Roman"/>
          <w:sz w:val="28"/>
          <w:szCs w:val="28"/>
          <w:lang w:val="en-US" w:eastAsia="zh-CN"/>
        </w:rPr>
        <w:t>（PM</w:t>
      </w:r>
      <w:r>
        <w:rPr>
          <w:rFonts w:hint="default" w:ascii="Times New Roman" w:hAnsi="Times New Roman" w:eastAsia="宋体" w:cs="Times New Roman"/>
          <w:sz w:val="28"/>
          <w:szCs w:val="28"/>
          <w:vertAlign w:val="subscript"/>
          <w:lang w:val="en-US" w:eastAsia="zh-CN"/>
        </w:rPr>
        <w:t>2.5</w:t>
      </w:r>
      <w:r>
        <w:rPr>
          <w:rFonts w:hint="default" w:ascii="Times New Roman" w:hAnsi="Times New Roman" w:eastAsia="宋体" w:cs="Times New Roman"/>
          <w:sz w:val="28"/>
          <w:szCs w:val="28"/>
          <w:lang w:val="en-US" w:eastAsia="zh-CN"/>
        </w:rPr>
        <w:t>浓度、AQI达标率）、地表水</w:t>
      </w:r>
      <w:r>
        <w:rPr>
          <w:rFonts w:hint="eastAsia" w:ascii="Times New Roman" w:hAnsi="Times New Roman" w:eastAsia="宋体" w:cs="Times New Roman"/>
          <w:sz w:val="28"/>
          <w:szCs w:val="28"/>
          <w:lang w:val="en-US" w:eastAsia="zh-CN"/>
        </w:rPr>
        <w:t>环境</w:t>
      </w:r>
      <w:r>
        <w:rPr>
          <w:rFonts w:hint="default" w:ascii="Times New Roman" w:hAnsi="Times New Roman" w:eastAsia="宋体" w:cs="Times New Roman"/>
          <w:sz w:val="28"/>
          <w:szCs w:val="28"/>
          <w:lang w:val="en-US" w:eastAsia="zh-CN"/>
        </w:rPr>
        <w:t>（国考断面优良率、饮用水源达标率）、海洋环境（近岸海域水质优良比例</w:t>
      </w:r>
      <w:r>
        <w:rPr>
          <w:rFonts w:hint="eastAsia" w:ascii="Times New Roman" w:hAnsi="Times New Roman" w:eastAsia="宋体" w:cs="Times New Roman"/>
          <w:sz w:val="28"/>
          <w:szCs w:val="28"/>
          <w:lang w:val="en-US" w:eastAsia="zh-CN"/>
        </w:rPr>
        <w:t>、海水浴场水质</w:t>
      </w:r>
      <w:r>
        <w:rPr>
          <w:rFonts w:hint="default" w:ascii="Times New Roman" w:hAnsi="Times New Roman" w:eastAsia="宋体" w:cs="Times New Roman"/>
          <w:sz w:val="28"/>
          <w:szCs w:val="28"/>
          <w:lang w:val="en-US" w:eastAsia="zh-CN"/>
        </w:rPr>
        <w:t>）、</w:t>
      </w:r>
      <w:r>
        <w:rPr>
          <w:rFonts w:hint="eastAsia" w:ascii="Times New Roman" w:hAnsi="Times New Roman" w:eastAsia="宋体" w:cs="Times New Roman"/>
          <w:sz w:val="28"/>
          <w:szCs w:val="28"/>
          <w:lang w:val="en-US" w:eastAsia="zh-CN"/>
        </w:rPr>
        <w:t>自然</w:t>
      </w:r>
      <w:r>
        <w:rPr>
          <w:rFonts w:hint="default" w:ascii="Times New Roman" w:hAnsi="Times New Roman" w:eastAsia="宋体" w:cs="Times New Roman"/>
          <w:sz w:val="28"/>
          <w:szCs w:val="28"/>
          <w:lang w:val="en-US" w:eastAsia="zh-CN"/>
        </w:rPr>
        <w:t>生态</w:t>
      </w:r>
      <w:r>
        <w:rPr>
          <w:rFonts w:hint="eastAsia" w:ascii="Times New Roman" w:hAnsi="Times New Roman" w:eastAsia="宋体" w:cs="Times New Roman"/>
          <w:sz w:val="28"/>
          <w:szCs w:val="28"/>
          <w:lang w:val="en-US" w:eastAsia="zh-CN"/>
        </w:rPr>
        <w:t>（</w:t>
      </w:r>
      <w:r>
        <w:rPr>
          <w:rFonts w:hint="default" w:ascii="Times New Roman" w:hAnsi="Times New Roman" w:eastAsia="宋体" w:cs="Times New Roman"/>
          <w:sz w:val="28"/>
          <w:szCs w:val="28"/>
          <w:lang w:val="en-US" w:eastAsia="zh-CN"/>
        </w:rPr>
        <w:t>生态质量指数、森林覆</w:t>
      </w:r>
      <w:r>
        <w:rPr>
          <w:rFonts w:hint="eastAsia" w:ascii="Times New Roman" w:hAnsi="Times New Roman" w:eastAsia="宋体" w:cs="Times New Roman"/>
          <w:sz w:val="28"/>
          <w:szCs w:val="28"/>
          <w:lang w:val="en-US" w:eastAsia="zh-CN"/>
        </w:rPr>
        <w:t>被</w:t>
      </w:r>
      <w:r>
        <w:rPr>
          <w:rFonts w:hint="default" w:ascii="Times New Roman" w:hAnsi="Times New Roman" w:eastAsia="宋体" w:cs="Times New Roman"/>
          <w:sz w:val="28"/>
          <w:szCs w:val="28"/>
          <w:lang w:val="en-US" w:eastAsia="zh-CN"/>
        </w:rPr>
        <w:t>率、自然保护地数量等</w:t>
      </w:r>
      <w:r>
        <w:rPr>
          <w:rFonts w:hint="eastAsia" w:ascii="Times New Roman" w:hAnsi="Times New Roman" w:eastAsia="宋体" w:cs="Times New Roman"/>
          <w:sz w:val="28"/>
          <w:szCs w:val="28"/>
          <w:lang w:val="en-US" w:eastAsia="zh-CN"/>
        </w:rPr>
        <w:t>）、声环境（城市区域环境噪声昼间等效声级平均值、城市道路交通噪声昼间平均值）、辐射环境（环境电离辐射质量、环境电磁辐射质量）</w:t>
      </w:r>
      <w:r>
        <w:rPr>
          <w:rFonts w:hint="default" w:ascii="Times New Roman" w:hAnsi="Times New Roman" w:eastAsia="宋体" w:cs="Times New Roman"/>
          <w:sz w:val="28"/>
          <w:szCs w:val="28"/>
          <w:lang w:val="en-US" w:eastAsia="zh-CN"/>
        </w:rPr>
        <w:t>等。</w:t>
      </w:r>
    </w:p>
    <w:p w14:paraId="77FC1138">
      <w:pPr>
        <w:widowControl/>
        <w:ind w:firstLine="560"/>
        <w:jc w:val="left"/>
        <w:rPr>
          <w:rFonts w:hint="eastAsia"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广东省生态环境状况公报通过标准化编制流程和特色指标设计，全面反映了全省生态环境质量变化趋势及治理成效。未来，广东省将继续以公报为抓手，强化数据驱动决策，深化区域协同治理，为美丽中国先行区建设提供有力支撑。</w:t>
      </w:r>
    </w:p>
    <w:p w14:paraId="108C7B44">
      <w:pPr>
        <w:widowControl/>
        <w:ind w:firstLine="560"/>
        <w:jc w:val="left"/>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2.</w:t>
      </w:r>
      <w:r>
        <w:rPr>
          <w:rFonts w:hint="default" w:ascii="Times New Roman" w:hAnsi="Times New Roman" w:eastAsia="宋体" w:cs="Times New Roman"/>
          <w:b/>
          <w:bCs/>
          <w:sz w:val="28"/>
          <w:szCs w:val="28"/>
          <w:lang w:val="en-US" w:eastAsia="zh-CN"/>
        </w:rPr>
        <w:t>国外情况</w:t>
      </w:r>
    </w:p>
    <w:p w14:paraId="34883DC8">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w:t>
      </w:r>
      <w:r>
        <w:rPr>
          <w:rFonts w:hint="default" w:ascii="Times New Roman" w:hAnsi="Times New Roman" w:eastAsia="宋体" w:cs="Times New Roman"/>
          <w:sz w:val="28"/>
          <w:szCs w:val="28"/>
          <w:lang w:val="en-US" w:eastAsia="zh-CN"/>
        </w:rPr>
        <w:t>美国</w:t>
      </w:r>
    </w:p>
    <w:p w14:paraId="7EE6242D">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美国环保署（EPA）会定期发布《环境质量报告》，通常是每两年发布一次，各州也会发布相应的环境质量报告。内容涉及空气、水、土地等环境介质的质量状况，还包括污染防治、生态保护、环境健康等方面的内容。采用如空气质量指数（AQI）、水质指数等指标来定量描述环境质量状况。美国拥有较为完善的环境监测网络和数据管理系统，如空气质量监测网络、水质监测网络等，数据采集、传输、存储和分析技术先进，数据公开程度高，公众可方便地获取相关环境信息。</w:t>
      </w:r>
    </w:p>
    <w:p w14:paraId="2108F37E">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w:t>
      </w:r>
      <w:r>
        <w:rPr>
          <w:rFonts w:hint="default" w:ascii="Times New Roman" w:hAnsi="Times New Roman" w:eastAsia="宋体" w:cs="Times New Roman"/>
          <w:sz w:val="28"/>
          <w:szCs w:val="28"/>
          <w:lang w:val="en-US" w:eastAsia="zh-CN"/>
        </w:rPr>
        <w:t>欧盟</w:t>
      </w:r>
    </w:p>
    <w:p w14:paraId="5216BA9B">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欧盟委员会联合欧洲环境署等机构发布《欧洲环境状况报告》，通常是每两年发布一次。内容涵盖生物多样性、气候变化、空气与水质量、资源利用等众多领域，强调环境与社会、经济的协调发展。采用了一系列指标来反映环境质量状况，如空气质量中的颗粒物浓度、水质中的污染物含量等。</w:t>
      </w:r>
      <w:r>
        <w:rPr>
          <w:rFonts w:hint="eastAsia" w:ascii="Times New Roman" w:hAnsi="Times New Roman" w:eastAsia="宋体" w:cs="Times New Roman"/>
          <w:sz w:val="28"/>
          <w:szCs w:val="28"/>
          <w:lang w:val="en-US" w:eastAsia="zh-CN"/>
        </w:rPr>
        <w:t>欧盟</w:t>
      </w:r>
      <w:r>
        <w:rPr>
          <w:rFonts w:hint="default" w:ascii="Times New Roman" w:hAnsi="Times New Roman" w:eastAsia="宋体" w:cs="Times New Roman"/>
          <w:sz w:val="28"/>
          <w:szCs w:val="28"/>
          <w:lang w:val="en-US" w:eastAsia="zh-CN"/>
        </w:rPr>
        <w:t>整合了各成员国的环境数据，建立了统一的环境信息共享平台，通过对数据的深入分析和评估，为欧盟的环境政策制定和实施提供支持，促进了欧盟范围内环境管理的协调与合作。</w:t>
      </w:r>
    </w:p>
    <w:p w14:paraId="77F85AE0">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（3）</w:t>
      </w:r>
      <w:r>
        <w:rPr>
          <w:rFonts w:hint="default" w:ascii="Times New Roman" w:hAnsi="Times New Roman" w:eastAsia="宋体" w:cs="Times New Roman"/>
          <w:sz w:val="28"/>
          <w:szCs w:val="28"/>
          <w:lang w:val="en-US" w:eastAsia="zh-CN"/>
        </w:rPr>
        <w:t>日本</w:t>
      </w:r>
    </w:p>
    <w:p w14:paraId="00CA818F">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日本环境省定期发布《环境白皮书》，一般是每年发布一次。</w:t>
      </w:r>
      <w:r>
        <w:rPr>
          <w:rFonts w:hint="eastAsia" w:ascii="Times New Roman" w:hAnsi="Times New Roman" w:eastAsia="宋体" w:cs="Times New Roman"/>
          <w:sz w:val="28"/>
          <w:szCs w:val="28"/>
          <w:lang w:val="en-US" w:eastAsia="zh-CN"/>
        </w:rPr>
        <w:t>主要</w:t>
      </w:r>
      <w:r>
        <w:rPr>
          <w:rFonts w:hint="default" w:ascii="Times New Roman" w:hAnsi="Times New Roman" w:eastAsia="宋体" w:cs="Times New Roman"/>
          <w:sz w:val="28"/>
          <w:szCs w:val="28"/>
          <w:lang w:val="en-US" w:eastAsia="zh-CN"/>
        </w:rPr>
        <w:t>介绍国内外环境形势、日本的环境政策及实施成效等内容，涵盖大气、水、土壤、生态系统等环境要素的质量状况及变化趋势。采用了一系列具体的指标来定量描述环境质量状况，如空气质量中的二氧化硫、氮氧化物浓度等。</w:t>
      </w:r>
      <w:r>
        <w:rPr>
          <w:rFonts w:hint="eastAsia" w:ascii="Times New Roman" w:hAnsi="Times New Roman" w:eastAsia="宋体" w:cs="Times New Roman"/>
          <w:sz w:val="28"/>
          <w:szCs w:val="28"/>
          <w:lang w:val="en-US" w:eastAsia="zh-CN"/>
        </w:rPr>
        <w:t>日本</w:t>
      </w:r>
      <w:r>
        <w:rPr>
          <w:rFonts w:hint="default" w:ascii="Times New Roman" w:hAnsi="Times New Roman" w:eastAsia="宋体" w:cs="Times New Roman"/>
          <w:sz w:val="28"/>
          <w:szCs w:val="28"/>
          <w:lang w:val="en-US" w:eastAsia="zh-CN"/>
        </w:rPr>
        <w:t>建立了先进的环境监测体系，注重公众参与和环境教育，公众对环境问题的关注度较高，积极参与到环境监测和保护行动中，形成了良好的环境保护氛围。</w:t>
      </w:r>
    </w:p>
    <w:p w14:paraId="38D3E3DE">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（4）</w:t>
      </w:r>
      <w:r>
        <w:rPr>
          <w:rFonts w:hint="default" w:ascii="Times New Roman" w:hAnsi="Times New Roman" w:eastAsia="宋体" w:cs="Times New Roman"/>
          <w:sz w:val="28"/>
          <w:szCs w:val="28"/>
          <w:lang w:val="en-US" w:eastAsia="zh-CN"/>
        </w:rPr>
        <w:t>德国</w:t>
      </w:r>
    </w:p>
    <w:p w14:paraId="3D251526">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1972年首次出版环境概要，1984 年起二年一次发布《环境数据》，其环境报告内容包括环境质量、自然资源利用、污染排放等方面。</w:t>
      </w:r>
    </w:p>
    <w:p w14:paraId="511C1B5C">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（5）</w:t>
      </w:r>
      <w:r>
        <w:rPr>
          <w:rFonts w:hint="default" w:ascii="Times New Roman" w:hAnsi="Times New Roman" w:eastAsia="宋体" w:cs="Times New Roman"/>
          <w:sz w:val="28"/>
          <w:szCs w:val="28"/>
          <w:lang w:val="en-US" w:eastAsia="zh-CN"/>
        </w:rPr>
        <w:t>法国</w:t>
      </w:r>
    </w:p>
    <w:p w14:paraId="31DF03DA">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1978年起每年出版《环境状况》报告，内容涵盖空气质量、水资源管理、废弃物处理等多个领域。</w:t>
      </w:r>
    </w:p>
    <w:p w14:paraId="3ECC7CFB">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val="en-US" w:eastAsia="zh-CN"/>
        </w:rPr>
        <w:t>英国</w:t>
      </w:r>
    </w:p>
    <w:p w14:paraId="3ED605F5">
      <w:pPr>
        <w:widowControl/>
        <w:ind w:firstLine="560"/>
        <w:jc w:val="left"/>
        <w:rPr>
          <w:rFonts w:hint="default" w:ascii="Times New Roman" w:hAnsi="Times New Roman" w:eastAsia="宋体" w:cs="Times New Roman"/>
          <w:sz w:val="28"/>
          <w:szCs w:val="28"/>
          <w:lang w:val="en-US" w:eastAsia="zh-CN"/>
        </w:rPr>
      </w:pPr>
      <w:r>
        <w:rPr>
          <w:rFonts w:hint="default" w:ascii="Times New Roman" w:hAnsi="Times New Roman" w:eastAsia="宋体" w:cs="Times New Roman"/>
          <w:sz w:val="28"/>
          <w:szCs w:val="28"/>
          <w:lang w:val="en-US" w:eastAsia="zh-CN"/>
        </w:rPr>
        <w:t>1978年出版了第一份“环境保护和水统计摘要”，后发展为每年出版的《环境统计》报告，内容涉及环境质量、污染控制、自然保护等多方面。</w:t>
      </w:r>
    </w:p>
    <w:p w14:paraId="68F334FB">
      <w:pPr>
        <w:widowControl/>
        <w:ind w:firstLine="560"/>
        <w:jc w:val="left"/>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3.标准编制情况</w:t>
      </w:r>
    </w:p>
    <w:p w14:paraId="2AC70496">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检索全国标准信息公共服务平台统计数据显示，截止</w:t>
      </w:r>
      <w:r>
        <w:rPr>
          <w:rFonts w:hint="default" w:ascii="Times New Roman" w:hAnsi="Times New Roman" w:eastAsia="宋体" w:cs="Times New Roman"/>
          <w:sz w:val="28"/>
          <w:szCs w:val="28"/>
          <w:lang w:val="en-US" w:eastAsia="zh-CN"/>
        </w:rPr>
        <w:t>2025年</w:t>
      </w:r>
      <w:r>
        <w:rPr>
          <w:rFonts w:hint="eastAsia" w:ascii="Times New Roman" w:hAnsi="Times New Roman" w:eastAsia="宋体" w:cs="Times New Roman"/>
          <w:sz w:val="28"/>
          <w:szCs w:val="28"/>
          <w:lang w:val="en-US" w:eastAsia="zh-CN"/>
        </w:rPr>
        <w:t>6</w:t>
      </w:r>
      <w:r>
        <w:rPr>
          <w:rFonts w:hint="default" w:ascii="Times New Roman" w:hAnsi="Times New Roman" w:eastAsia="宋体" w:cs="Times New Roman"/>
          <w:sz w:val="28"/>
          <w:szCs w:val="28"/>
          <w:lang w:val="en-US" w:eastAsia="zh-CN"/>
        </w:rPr>
        <w:t>月</w:t>
      </w:r>
      <w:r>
        <w:rPr>
          <w:rFonts w:hint="eastAsia" w:ascii="Times New Roman" w:hAnsi="Times New Roman" w:eastAsia="宋体" w:cs="Times New Roman"/>
          <w:sz w:val="28"/>
          <w:szCs w:val="28"/>
          <w:lang w:val="en-US" w:eastAsia="zh-CN"/>
        </w:rPr>
        <w:t>，现行暂无生态环境状况公报的相关国家标准、行业标准或地方标准。如在该平台输入“公报”检索，有以下7项：</w:t>
      </w:r>
    </w:p>
    <w:p w14:paraId="5EAFCB53">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GB/T 45434.3—2025  中国标准时间 第3部分：公报</w:t>
      </w:r>
    </w:p>
    <w:p w14:paraId="4168EDD5">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GB/T 23598—2009  水资源公报编制规程</w:t>
      </w:r>
    </w:p>
    <w:p w14:paraId="22B5CEE8">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QX/T 573—2020  气候公报编写规范</w:t>
      </w:r>
    </w:p>
    <w:p w14:paraId="69670EF7">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SL 474—2010  河流泥沙公报编制规程</w:t>
      </w:r>
    </w:p>
    <w:p w14:paraId="41983AB6">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DB13/T 1270—2015  气候状况公报编写规范</w:t>
      </w:r>
    </w:p>
    <w:p w14:paraId="1483E7C4">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DB41/T 2322—2022  水资源公报数据库设计规范</w:t>
      </w:r>
    </w:p>
    <w:p w14:paraId="348129AE">
      <w:pPr>
        <w:widowControl/>
        <w:ind w:firstLine="560"/>
        <w:jc w:val="left"/>
        <w:rPr>
          <w:rFonts w:hint="default" w:ascii="Times New Roman" w:hAnsi="Times New Roman" w:eastAsia="宋体" w:cs="Times New Roman"/>
          <w:sz w:val="28"/>
          <w:szCs w:val="28"/>
          <w:lang w:eastAsia="zh-CN"/>
        </w:rPr>
      </w:pPr>
      <w:r>
        <w:rPr>
          <w:rFonts w:hint="eastAsia" w:ascii="Times New Roman" w:hAnsi="Times New Roman" w:eastAsia="宋体" w:cs="Times New Roman"/>
          <w:sz w:val="28"/>
          <w:szCs w:val="28"/>
          <w:lang w:val="en-US" w:eastAsia="zh-CN"/>
        </w:rPr>
        <w:t>但上述7项涉及“公报”的标准与本次申请立项的《生态环境状况公报编制技术规范》无关联，因此，本申请立项标准具有创新性和实用性。</w:t>
      </w:r>
    </w:p>
    <w:bookmarkEnd w:id="24"/>
    <w:p w14:paraId="0ECA3345">
      <w:pPr>
        <w:pStyle w:val="2"/>
        <w:keepNext/>
        <w:keepLines/>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黑体"/>
          <w:position w:val="-23"/>
          <w:sz w:val="32"/>
          <w:szCs w:val="32"/>
          <w:lang w:val="en-US" w:eastAsia="zh-CN"/>
        </w:rPr>
      </w:pPr>
      <w:bookmarkStart w:id="37" w:name="_Toc117603454"/>
      <w:bookmarkStart w:id="38" w:name="_Toc5610"/>
      <w:bookmarkStart w:id="39" w:name="_Toc1641"/>
      <w:bookmarkStart w:id="40" w:name="_Toc69306577"/>
      <w:bookmarkStart w:id="41" w:name="_Toc81441186"/>
      <w:bookmarkStart w:id="42" w:name="_Toc69306617"/>
      <w:bookmarkStart w:id="43" w:name="_Toc5939"/>
      <w:bookmarkStart w:id="44" w:name="_Toc50124639"/>
      <w:r>
        <w:rPr>
          <w:rFonts w:hint="eastAsia" w:ascii="黑体" w:hAnsi="黑体" w:eastAsia="黑体" w:cs="黑体"/>
          <w:position w:val="-23"/>
          <w:sz w:val="32"/>
          <w:szCs w:val="32"/>
          <w:lang w:val="en-US" w:eastAsia="zh-CN"/>
        </w:rPr>
        <w:t>五、文件内容结构</w:t>
      </w:r>
      <w:bookmarkEnd w:id="37"/>
      <w:bookmarkEnd w:id="38"/>
      <w:bookmarkEnd w:id="39"/>
      <w:bookmarkEnd w:id="40"/>
      <w:bookmarkEnd w:id="41"/>
      <w:bookmarkEnd w:id="42"/>
      <w:bookmarkEnd w:id="43"/>
    </w:p>
    <w:p w14:paraId="6D49464F">
      <w:pPr>
        <w:widowControl/>
        <w:ind w:firstLine="560"/>
        <w:jc w:val="left"/>
        <w:rPr>
          <w:rFonts w:hint="eastAsia" w:ascii="Times New Roman" w:hAnsi="Times New Roman" w:eastAsia="宋体" w:cs="Times New Roman"/>
          <w:sz w:val="28"/>
          <w:szCs w:val="28"/>
          <w:lang w:val="en-US" w:eastAsia="zh-CN"/>
        </w:rPr>
      </w:pPr>
      <w:bookmarkStart w:id="45" w:name="_Toc69306578"/>
      <w:bookmarkStart w:id="46" w:name="_Toc15798"/>
      <w:bookmarkStart w:id="47" w:name="_Toc117603455"/>
      <w:bookmarkStart w:id="48" w:name="_Toc81441187"/>
      <w:bookmarkStart w:id="49" w:name="_Toc14648"/>
      <w:bookmarkStart w:id="50" w:name="_Toc69306618"/>
      <w:r>
        <w:rPr>
          <w:rFonts w:hint="eastAsia" w:ascii="Times New Roman" w:hAnsi="Times New Roman" w:eastAsia="宋体" w:cs="Times New Roman"/>
          <w:sz w:val="28"/>
          <w:szCs w:val="28"/>
          <w:lang w:val="en-US" w:eastAsia="zh-CN"/>
        </w:rPr>
        <w:t>1  范围</w:t>
      </w:r>
    </w:p>
    <w:p w14:paraId="424A60D3">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  规范性引用文件</w:t>
      </w:r>
    </w:p>
    <w:p w14:paraId="79E22C42">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3  术语与定义</w:t>
      </w:r>
    </w:p>
    <w:p w14:paraId="313BEB2C">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4  基本要求</w:t>
      </w:r>
    </w:p>
    <w:p w14:paraId="61F6F6EF">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5  编制流程</w:t>
      </w:r>
    </w:p>
    <w:p w14:paraId="5B59146B">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6  内容要求</w:t>
      </w:r>
    </w:p>
    <w:p w14:paraId="56EF83D2">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7  其他要求</w:t>
      </w:r>
    </w:p>
    <w:p w14:paraId="3A641884">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附录A（资料性）生态环境状况公报编写参考提纲</w:t>
      </w:r>
    </w:p>
    <w:p w14:paraId="3A960255">
      <w:pPr>
        <w:widowControl/>
        <w:ind w:firstLine="560"/>
        <w:jc w:val="left"/>
        <w:rPr>
          <w:rFonts w:hint="eastAsia" w:ascii="Times New Roman" w:hAnsi="Times New Roman" w:eastAsia="宋体" w:cs="Times New Roman"/>
          <w:kern w:val="0"/>
          <w:sz w:val="32"/>
          <w:szCs w:val="32"/>
        </w:rPr>
      </w:pPr>
      <w:r>
        <w:rPr>
          <w:rFonts w:hint="eastAsia" w:ascii="Times New Roman" w:hAnsi="Times New Roman" w:eastAsia="宋体" w:cs="Times New Roman"/>
          <w:sz w:val="28"/>
          <w:szCs w:val="28"/>
          <w:lang w:val="en-US" w:eastAsia="zh-CN"/>
        </w:rPr>
        <w:t>附录B</w:t>
      </w:r>
      <w:bookmarkStart w:id="51" w:name="_Toc30511"/>
      <w:r>
        <w:rPr>
          <w:rFonts w:hint="eastAsia" w:ascii="Times New Roman" w:hAnsi="Times New Roman" w:eastAsia="宋体" w:cs="Times New Roman"/>
          <w:sz w:val="28"/>
          <w:szCs w:val="28"/>
          <w:lang w:val="en-US" w:eastAsia="zh-CN"/>
        </w:rPr>
        <w:t>（资料性）</w:t>
      </w:r>
      <w:bookmarkEnd w:id="51"/>
      <w:r>
        <w:rPr>
          <w:rFonts w:hint="eastAsia" w:ascii="Times New Roman" w:hAnsi="Times New Roman" w:eastAsia="宋体" w:cs="Times New Roman"/>
          <w:sz w:val="28"/>
          <w:szCs w:val="28"/>
          <w:lang w:val="en-US" w:eastAsia="zh-CN"/>
        </w:rPr>
        <w:t>生态环境状况公报重点内容编制示例</w:t>
      </w:r>
    </w:p>
    <w:p w14:paraId="08C2A2EF">
      <w:pPr>
        <w:pStyle w:val="2"/>
        <w:keepNext/>
        <w:keepLines/>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default" w:ascii="黑体" w:hAnsi="黑体" w:eastAsia="黑体" w:cs="黑体"/>
          <w:position w:val="-23"/>
          <w:sz w:val="32"/>
          <w:szCs w:val="32"/>
          <w:lang w:val="en-US" w:eastAsia="zh-CN"/>
        </w:rPr>
      </w:pPr>
      <w:bookmarkStart w:id="52" w:name="_Toc11832"/>
      <w:r>
        <w:rPr>
          <w:rFonts w:hint="eastAsia" w:ascii="黑体" w:hAnsi="黑体" w:eastAsia="黑体" w:cs="黑体"/>
          <w:position w:val="-23"/>
          <w:sz w:val="32"/>
          <w:szCs w:val="32"/>
          <w:lang w:val="en-US" w:eastAsia="zh-CN"/>
        </w:rPr>
        <w:t>六、主要内容说明</w:t>
      </w:r>
      <w:bookmarkEnd w:id="45"/>
      <w:bookmarkEnd w:id="46"/>
      <w:bookmarkEnd w:id="47"/>
      <w:bookmarkEnd w:id="48"/>
      <w:bookmarkEnd w:id="49"/>
      <w:bookmarkEnd w:id="50"/>
      <w:bookmarkEnd w:id="52"/>
    </w:p>
    <w:p w14:paraId="4FD883F0">
      <w:pPr>
        <w:widowControl/>
        <w:ind w:firstLine="560"/>
        <w:jc w:val="left"/>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1.范围</w:t>
      </w:r>
    </w:p>
    <w:p w14:paraId="0A0FCD75">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本文件规定了生态环境状况公报编制的基本要求、编制流程、内容要求及其他要求。</w:t>
      </w:r>
    </w:p>
    <w:p w14:paraId="6C17D11F">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本文件适用于广东省省级生态环境部门生态环境状况公报编制工作。广东省县级以上（含县级）其他生态环境部门生态环境状况公报编制工作可参考本文件。</w:t>
      </w:r>
    </w:p>
    <w:p w14:paraId="40A3748F">
      <w:pPr>
        <w:widowControl/>
        <w:ind w:firstLine="560"/>
        <w:jc w:val="left"/>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2.规范性引用文件</w:t>
      </w:r>
    </w:p>
    <w:p w14:paraId="22E8F0EF">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本标准主要规范性引用文件如下：</w:t>
      </w:r>
    </w:p>
    <w:p w14:paraId="795056F5">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GB 3100  国际单位制及其应用</w:t>
      </w:r>
    </w:p>
    <w:p w14:paraId="485CC9D9">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GB/T 3101  有关量、单位和符号的一般原则</w:t>
      </w:r>
    </w:p>
    <w:p w14:paraId="71DC531D">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GB/T 3102.1  空间和时间的量和单位</w:t>
      </w:r>
    </w:p>
    <w:p w14:paraId="6200BBDC">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3102.2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"https://std.samr.gov.cn/gb/search/gbDetailed?id=71F772D79A37D3A7E05397BE0A0AB82A"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周期及其有关现象的量和单位</w:t>
      </w:r>
      <w:r>
        <w:rPr>
          <w:rFonts w:hint="default" w:ascii="Times New Roman" w:hAnsi="Times New Roman" w:eastAsia="宋体" w:cs="Times New Roman"/>
          <w:sz w:val="28"/>
          <w:szCs w:val="28"/>
          <w:lang w:val="en-US" w:eastAsia="zh-CN"/>
        </w:rPr>
        <w:fldChar w:fldCharType="end"/>
      </w:r>
    </w:p>
    <w:p w14:paraId="5D7DCD22">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3102.3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"https://std.samr.gov.cn/gb/search/gbDetailed?id=71F772D79A69D3A7E05397BE0A0AB82A"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力学的量和单位</w:t>
      </w:r>
      <w:r>
        <w:rPr>
          <w:rFonts w:hint="default" w:ascii="Times New Roman" w:hAnsi="Times New Roman" w:eastAsia="宋体" w:cs="Times New Roman"/>
          <w:sz w:val="28"/>
          <w:szCs w:val="28"/>
          <w:lang w:val="en-US" w:eastAsia="zh-CN"/>
        </w:rPr>
        <w:fldChar w:fldCharType="end"/>
      </w:r>
    </w:p>
    <w:p w14:paraId="5836F39C">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3102.4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"https://std.samr.gov.cn/gb/search/gbDetailed?id=71F772D7C091D3A7E05397BE0A0AB82A"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热学的量和单位</w:t>
      </w:r>
      <w:r>
        <w:rPr>
          <w:rFonts w:hint="default" w:ascii="Times New Roman" w:hAnsi="Times New Roman" w:eastAsia="宋体" w:cs="Times New Roman"/>
          <w:sz w:val="28"/>
          <w:szCs w:val="28"/>
          <w:lang w:val="en-US" w:eastAsia="zh-CN"/>
        </w:rPr>
        <w:fldChar w:fldCharType="end"/>
      </w:r>
    </w:p>
    <w:p w14:paraId="540A3CFB">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3102.5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"https://std.samr.gov.cn/gb/search/gbDetailed?id=71F772D799E0D3A7E05397BE0A0AB82A"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电学和磁学的量和单位</w:t>
      </w:r>
      <w:r>
        <w:rPr>
          <w:rFonts w:hint="default" w:ascii="Times New Roman" w:hAnsi="Times New Roman" w:eastAsia="宋体" w:cs="Times New Roman"/>
          <w:sz w:val="28"/>
          <w:szCs w:val="28"/>
          <w:lang w:val="en-US" w:eastAsia="zh-CN"/>
        </w:rPr>
        <w:fldChar w:fldCharType="end"/>
      </w:r>
    </w:p>
    <w:p w14:paraId="0860E1F4">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3102.6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"https://std.samr.gov.cn/gb/search/gbDetailed?id=71F772D799E1D3A7E05397BE0A0AB82A"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光及有关电磁辐射的量和单位</w:t>
      </w:r>
      <w:r>
        <w:rPr>
          <w:rFonts w:hint="default" w:ascii="Times New Roman" w:hAnsi="Times New Roman" w:eastAsia="宋体" w:cs="Times New Roman"/>
          <w:sz w:val="28"/>
          <w:szCs w:val="28"/>
          <w:lang w:val="en-US" w:eastAsia="zh-CN"/>
        </w:rPr>
        <w:fldChar w:fldCharType="end"/>
      </w:r>
    </w:p>
    <w:p w14:paraId="0C2B5642">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3102.7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"https://std.samr.gov.cn/gb/search/gbDetailed?id=71F772D799E2D3A7E05397BE0A0AB82A"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声学的量和单位</w:t>
      </w:r>
      <w:r>
        <w:rPr>
          <w:rFonts w:hint="default" w:ascii="Times New Roman" w:hAnsi="Times New Roman" w:eastAsia="宋体" w:cs="Times New Roman"/>
          <w:sz w:val="28"/>
          <w:szCs w:val="28"/>
          <w:lang w:val="en-US" w:eastAsia="zh-CN"/>
        </w:rPr>
        <w:fldChar w:fldCharType="end"/>
      </w:r>
    </w:p>
    <w:p w14:paraId="602DFEF2">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3102.8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"https://std.samr.gov.cn/gb/search/gbDetailed?id=71F772D799E3D3A7E05397BE0A0AB82A"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物理化学和分子物理学的量和单位</w:t>
      </w:r>
      <w:r>
        <w:rPr>
          <w:rFonts w:hint="default" w:ascii="Times New Roman" w:hAnsi="Times New Roman" w:eastAsia="宋体" w:cs="Times New Roman"/>
          <w:sz w:val="28"/>
          <w:szCs w:val="28"/>
          <w:lang w:val="en-US" w:eastAsia="zh-CN"/>
        </w:rPr>
        <w:fldChar w:fldCharType="end"/>
      </w:r>
    </w:p>
    <w:p w14:paraId="61A14CBF">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3102.9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"https://std.samr.gov.cn/gb/search/gbDetailed?id=71F772D81D3CD3A7E05397BE0A0AB82A"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原子物理学和核物理学的量和单位</w:t>
      </w:r>
      <w:r>
        <w:rPr>
          <w:rFonts w:hint="default" w:ascii="Times New Roman" w:hAnsi="Times New Roman" w:eastAsia="宋体" w:cs="Times New Roman"/>
          <w:sz w:val="28"/>
          <w:szCs w:val="28"/>
          <w:lang w:val="en-US" w:eastAsia="zh-CN"/>
        </w:rPr>
        <w:fldChar w:fldCharType="end"/>
      </w:r>
    </w:p>
    <w:p w14:paraId="78E70E59">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3102.10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"https://std.samr.gov.cn/gb/search/gbDetailed?id=71F772D796C7D3A7E05397BE0A0AB82A"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核反应和电离辐射的量和单位</w:t>
      </w:r>
      <w:r>
        <w:rPr>
          <w:rFonts w:hint="default" w:ascii="Times New Roman" w:hAnsi="Times New Roman" w:eastAsia="宋体" w:cs="Times New Roman"/>
          <w:sz w:val="28"/>
          <w:szCs w:val="28"/>
          <w:lang w:val="en-US" w:eastAsia="zh-CN"/>
        </w:rPr>
        <w:fldChar w:fldCharType="end"/>
      </w:r>
    </w:p>
    <w:p w14:paraId="352FE2AC">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3102.11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"https://std.samr.gov.cn/gb/search/gbDetailed?id=71F772D812E4D3A7E05397BE0A0AB82A"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物理科学和技术中使用的数学符号</w:t>
      </w:r>
      <w:r>
        <w:rPr>
          <w:rFonts w:hint="default" w:ascii="Times New Roman" w:hAnsi="Times New Roman" w:eastAsia="宋体" w:cs="Times New Roman"/>
          <w:sz w:val="28"/>
          <w:szCs w:val="28"/>
          <w:lang w:val="en-US" w:eastAsia="zh-CN"/>
        </w:rPr>
        <w:fldChar w:fldCharType="end"/>
      </w:r>
    </w:p>
    <w:p w14:paraId="510296DA">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3102.12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"https://std.samr.gov.cn/gb/search/gbDetailed?id=71F772D79AF3D3A7E05397BE0A0AB82A"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特征数</w:t>
      </w:r>
      <w:r>
        <w:rPr>
          <w:rFonts w:hint="default" w:ascii="Times New Roman" w:hAnsi="Times New Roman" w:eastAsia="宋体" w:cs="Times New Roman"/>
          <w:sz w:val="28"/>
          <w:szCs w:val="28"/>
          <w:lang w:val="en-US" w:eastAsia="zh-CN"/>
        </w:rPr>
        <w:fldChar w:fldCharType="end"/>
      </w:r>
    </w:p>
    <w:p w14:paraId="0972A113">
      <w:pPr>
        <w:widowControl/>
        <w:ind w:firstLine="560"/>
        <w:jc w:val="left"/>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GB/T 3102.13  </w:t>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HYPERLINK "https://std.samr.gov.cn/gb/search/gbDetailed?id=71F772D79AF4D3A7E05397BE0A0AB82A" \t "https://std.samr.gov.cn/search/stdPage?q=GB/_blank" </w:instrText>
      </w:r>
      <w:r>
        <w:rPr>
          <w:rFonts w:hint="eastAsia" w:ascii="Times New Roman" w:hAnsi="Times New Roman" w:eastAsia="宋体" w:cs="Times New Roman"/>
          <w:sz w:val="28"/>
          <w:szCs w:val="28"/>
          <w:lang w:val="en-US" w:eastAsia="zh-CN"/>
        </w:rPr>
        <w:fldChar w:fldCharType="separate"/>
      </w:r>
      <w:r>
        <w:rPr>
          <w:rFonts w:hint="default" w:ascii="Times New Roman" w:hAnsi="Times New Roman" w:eastAsia="宋体" w:cs="Times New Roman"/>
          <w:sz w:val="28"/>
          <w:szCs w:val="28"/>
          <w:lang w:val="en-US" w:eastAsia="zh-CN"/>
        </w:rPr>
        <w:t>固体物理学的量和单位</w:t>
      </w:r>
      <w:r>
        <w:rPr>
          <w:rFonts w:hint="default" w:ascii="Times New Roman" w:hAnsi="Times New Roman" w:eastAsia="宋体" w:cs="Times New Roman"/>
          <w:sz w:val="28"/>
          <w:szCs w:val="28"/>
          <w:lang w:val="en-US" w:eastAsia="zh-CN"/>
        </w:rPr>
        <w:fldChar w:fldCharType="end"/>
      </w:r>
    </w:p>
    <w:p w14:paraId="2C2B22A4">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GB/T 15834  标点符号用法</w:t>
      </w:r>
    </w:p>
    <w:p w14:paraId="22085A1F">
      <w:pPr>
        <w:widowControl/>
        <w:ind w:firstLine="560"/>
        <w:jc w:val="left"/>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3</w:t>
      </w:r>
      <w:r>
        <w:rPr>
          <w:rFonts w:hint="eastAsia" w:cs="Times New Roman"/>
          <w:b/>
          <w:bCs/>
          <w:sz w:val="28"/>
          <w:szCs w:val="28"/>
          <w:lang w:val="en-US" w:eastAsia="zh-CN"/>
        </w:rPr>
        <w:t>.</w:t>
      </w:r>
      <w:r>
        <w:rPr>
          <w:rFonts w:hint="eastAsia" w:ascii="Times New Roman" w:hAnsi="Times New Roman" w:eastAsia="宋体" w:cs="Times New Roman"/>
          <w:b/>
          <w:bCs/>
          <w:sz w:val="28"/>
          <w:szCs w:val="28"/>
          <w:lang w:val="en-US" w:eastAsia="zh-CN"/>
        </w:rPr>
        <w:t>术语与定义</w:t>
      </w:r>
    </w:p>
    <w:p w14:paraId="6569183F">
      <w:pPr>
        <w:widowControl/>
        <w:ind w:firstLine="560"/>
        <w:jc w:val="left"/>
        <w:rPr>
          <w:rFonts w:hint="eastAsia"/>
          <w:lang w:val="en-US" w:eastAsia="zh-CN"/>
        </w:rPr>
      </w:pPr>
      <w:r>
        <w:rPr>
          <w:rFonts w:hint="eastAsia" w:ascii="Times New Roman" w:hAnsi="Times New Roman" w:eastAsia="宋体" w:cs="Times New Roman"/>
          <w:sz w:val="28"/>
          <w:szCs w:val="28"/>
          <w:lang w:val="en-US" w:eastAsia="zh-CN"/>
        </w:rPr>
        <w:t>本标准主要定义了</w:t>
      </w:r>
      <w:r>
        <w:rPr>
          <w:rFonts w:hint="eastAsia" w:cs="Times New Roman"/>
          <w:sz w:val="28"/>
          <w:szCs w:val="28"/>
          <w:lang w:val="en-US" w:eastAsia="zh-CN"/>
        </w:rPr>
        <w:t>“</w:t>
      </w:r>
      <w:r>
        <w:rPr>
          <w:rFonts w:hint="eastAsia" w:ascii="Times New Roman" w:hAnsi="Times New Roman" w:eastAsia="宋体" w:cs="Times New Roman"/>
          <w:sz w:val="28"/>
          <w:szCs w:val="28"/>
          <w:lang w:val="en-US" w:eastAsia="zh-CN"/>
        </w:rPr>
        <w:t>生态环境状况公报</w:t>
      </w:r>
      <w:r>
        <w:rPr>
          <w:rFonts w:hint="eastAsia" w:cs="Times New Roman"/>
          <w:sz w:val="28"/>
          <w:szCs w:val="28"/>
          <w:lang w:val="en-US" w:eastAsia="zh-CN"/>
        </w:rPr>
        <w:t>”</w:t>
      </w:r>
      <w:r>
        <w:rPr>
          <w:rFonts w:hint="eastAsia" w:ascii="Times New Roman" w:hAnsi="Times New Roman" w:eastAsia="宋体" w:cs="Times New Roman"/>
          <w:sz w:val="28"/>
          <w:szCs w:val="28"/>
          <w:lang w:val="en-US" w:eastAsia="zh-CN"/>
        </w:rPr>
        <w:t>1个术语，定义为“生态环境</w:t>
      </w:r>
      <w:r>
        <w:rPr>
          <w:rFonts w:hint="eastAsia" w:cs="Times New Roman"/>
          <w:sz w:val="28"/>
          <w:szCs w:val="28"/>
          <w:lang w:val="en-US" w:eastAsia="zh-CN"/>
        </w:rPr>
        <w:t>主管</w:t>
      </w:r>
      <w:r>
        <w:rPr>
          <w:rFonts w:hint="eastAsia" w:ascii="Times New Roman" w:hAnsi="Times New Roman" w:eastAsia="宋体" w:cs="Times New Roman"/>
          <w:sz w:val="28"/>
          <w:szCs w:val="28"/>
          <w:lang w:val="en-US" w:eastAsia="zh-CN"/>
        </w:rPr>
        <w:t>部门发布的，用于全面、客观反映特定区域（通常为国家或地区）在一定时期内生态环境质量状况、变化趋势以及生态环境保护工作进展和成效的公开年度报告。”</w:t>
      </w:r>
    </w:p>
    <w:p w14:paraId="75CCDEE3">
      <w:pPr>
        <w:widowControl/>
        <w:ind w:firstLine="560"/>
        <w:jc w:val="left"/>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4</w:t>
      </w:r>
      <w:r>
        <w:rPr>
          <w:rFonts w:hint="eastAsia" w:cs="Times New Roman"/>
          <w:b/>
          <w:bCs/>
          <w:sz w:val="28"/>
          <w:szCs w:val="28"/>
          <w:lang w:val="en-US" w:eastAsia="zh-CN"/>
        </w:rPr>
        <w:t>.</w:t>
      </w:r>
      <w:r>
        <w:rPr>
          <w:rFonts w:hint="eastAsia" w:ascii="Times New Roman" w:hAnsi="Times New Roman" w:eastAsia="宋体" w:cs="Times New Roman"/>
          <w:b/>
          <w:bCs/>
          <w:sz w:val="28"/>
          <w:szCs w:val="28"/>
          <w:lang w:val="en-US" w:eastAsia="zh-CN"/>
        </w:rPr>
        <w:t>基本要求</w:t>
      </w:r>
    </w:p>
    <w:p w14:paraId="4940B3C9">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（1）说明了生态环境状况公报编制原则，应遵循数据准确、分析科学、评价客观和通俗易懂的原则。</w:t>
      </w:r>
    </w:p>
    <w:p w14:paraId="0EBA06D8">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（2）说明了生态环境状况公报编排要求，宜由封面、目录、正文、编写说明及封底构成。</w:t>
      </w:r>
    </w:p>
    <w:p w14:paraId="60FE0F63">
      <w:pPr>
        <w:widowControl/>
        <w:ind w:firstLine="560"/>
        <w:jc w:val="left"/>
        <w:rPr>
          <w:rFonts w:hint="eastAsia"/>
          <w:lang w:val="en-US" w:eastAsia="zh-CN"/>
        </w:rPr>
      </w:pPr>
      <w:r>
        <w:rPr>
          <w:rFonts w:hint="eastAsia" w:ascii="Times New Roman" w:hAnsi="Times New Roman" w:eastAsia="宋体" w:cs="Times New Roman"/>
          <w:sz w:val="28"/>
          <w:szCs w:val="28"/>
          <w:lang w:val="en-US" w:eastAsia="zh-CN"/>
        </w:rPr>
        <w:t>（3）说明了生态环境状况公报正文内容要求，宜由生态环境状况、措施与行动、大事记等部分组成。</w:t>
      </w:r>
    </w:p>
    <w:p w14:paraId="1A9502FE">
      <w:pPr>
        <w:widowControl/>
        <w:ind w:firstLine="560"/>
        <w:jc w:val="left"/>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5</w:t>
      </w:r>
      <w:r>
        <w:rPr>
          <w:rFonts w:hint="eastAsia" w:cs="Times New Roman"/>
          <w:b/>
          <w:bCs/>
          <w:sz w:val="28"/>
          <w:szCs w:val="28"/>
          <w:lang w:val="en-US" w:eastAsia="zh-CN"/>
        </w:rPr>
        <w:t>.</w:t>
      </w:r>
      <w:r>
        <w:rPr>
          <w:rFonts w:hint="eastAsia" w:ascii="Times New Roman" w:hAnsi="Times New Roman" w:eastAsia="宋体" w:cs="Times New Roman"/>
          <w:b/>
          <w:bCs/>
          <w:sz w:val="28"/>
          <w:szCs w:val="28"/>
          <w:lang w:val="en-US" w:eastAsia="zh-CN"/>
        </w:rPr>
        <w:t>编制流程</w:t>
      </w:r>
    </w:p>
    <w:p w14:paraId="39DC2F40">
      <w:pPr>
        <w:widowControl/>
        <w:ind w:firstLine="560"/>
        <w:jc w:val="left"/>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说明了生态环境状况公报编制流程，及各环节主要要求。</w:t>
      </w:r>
    </w:p>
    <w:p w14:paraId="066A0C2A">
      <w:pPr>
        <w:pStyle w:val="38"/>
        <w:pageBreakBefore w:val="0"/>
        <w:kinsoku/>
        <w:wordWrap/>
        <w:overflowPunct/>
        <w:topLinePunct w:val="0"/>
        <w:bidi w:val="0"/>
        <w:adjustRightInd w:val="0"/>
        <w:snapToGrid w:val="0"/>
        <w:ind w:left="0" w:leftChars="0" w:firstLine="0" w:firstLineChars="0"/>
        <w:textAlignment w:val="auto"/>
        <w:rPr>
          <w:rFonts w:hint="eastAsia"/>
          <w:lang w:val="en-US" w:eastAsia="zh-CN"/>
        </w:rPr>
      </w:pPr>
    </w:p>
    <w:p w14:paraId="379F129E">
      <w:pPr>
        <w:pStyle w:val="38"/>
        <w:keepNext w:val="0"/>
        <w:keepLines w:val="0"/>
        <w:pageBreakBefore w:val="0"/>
        <w:widowControl/>
        <w:kinsoku/>
        <w:wordWrap/>
        <w:overflowPunct/>
        <w:topLinePunct w:val="0"/>
        <w:autoSpaceDE w:val="0"/>
        <w:autoSpaceDN w:val="0"/>
        <w:bidi w:val="0"/>
        <w:adjustRightInd w:val="0"/>
        <w:snapToGrid w:val="0"/>
        <w:spacing w:before="195" w:beforeLines="50" w:after="195" w:afterLines="50"/>
        <w:ind w:left="0" w:leftChars="0" w:firstLine="0" w:firstLineChars="0"/>
        <w:jc w:val="center"/>
        <w:textAlignment w:val="auto"/>
        <w:rPr>
          <w:rFonts w:hint="eastAsia" w:ascii="黑体" w:hAnsi="黑体" w:eastAsia="黑体" w:cs="黑体"/>
          <w:lang w:val="en-US" w:eastAsia="zh-CN"/>
        </w:rPr>
      </w:pPr>
      <w:r>
        <w:rPr>
          <w:rFonts w:hint="eastAsia"/>
          <w:lang w:val="en-US" w:eastAsia="zh-CN"/>
        </w:rPr>
        <w:drawing>
          <wp:inline distT="0" distB="0" distL="114300" distR="114300">
            <wp:extent cx="2956560" cy="1428115"/>
            <wp:effectExtent l="0" t="0" r="15240" b="63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4"/>
                    <a:stretch>
                      <a:fillRect/>
                    </a:stretch>
                  </pic:blipFill>
                  <pic:spPr>
                    <a:xfrm>
                      <a:off x="0" y="0"/>
                      <a:ext cx="2956560" cy="1428115"/>
                    </a:xfrm>
                    <a:prstGeom prst="rect">
                      <a:avLst/>
                    </a:prstGeom>
                  </pic:spPr>
                </pic:pic>
              </a:graphicData>
            </a:graphic>
          </wp:inline>
        </w:drawing>
      </w:r>
    </w:p>
    <w:p w14:paraId="3017566B">
      <w:pPr>
        <w:pStyle w:val="38"/>
        <w:keepNext w:val="0"/>
        <w:keepLines w:val="0"/>
        <w:pageBreakBefore w:val="0"/>
        <w:widowControl/>
        <w:kinsoku/>
        <w:wordWrap/>
        <w:overflowPunct/>
        <w:topLinePunct w:val="0"/>
        <w:autoSpaceDE w:val="0"/>
        <w:autoSpaceDN w:val="0"/>
        <w:bidi w:val="0"/>
        <w:adjustRightInd w:val="0"/>
        <w:snapToGrid w:val="0"/>
        <w:spacing w:before="195" w:beforeLines="50" w:after="195" w:afterLines="50"/>
        <w:ind w:left="0" w:leftChars="0" w:firstLine="0" w:firstLineChars="0"/>
        <w:jc w:val="center"/>
        <w:textAlignment w:val="auto"/>
        <w:rPr>
          <w:rFonts w:hint="eastAsia" w:ascii="黑体" w:hAnsi="黑体" w:eastAsia="黑体" w:cs="黑体"/>
          <w:lang w:val="en-US" w:eastAsia="zh-CN"/>
        </w:rPr>
      </w:pPr>
      <w:r>
        <w:rPr>
          <w:rFonts w:hint="eastAsia" w:ascii="黑体" w:hAnsi="黑体" w:eastAsia="黑体" w:cs="黑体"/>
          <w:lang w:val="en-US" w:eastAsia="zh-CN"/>
        </w:rPr>
        <w:t>图1  生态环境状况公报编制流程图</w:t>
      </w:r>
    </w:p>
    <w:p w14:paraId="1529DE85">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（1）收集资料</w:t>
      </w:r>
    </w:p>
    <w:p w14:paraId="3DF66167">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说明生态环境状况公报收集资料的基本要求，包括收集资料的部门，收集的资料信息，以及数据材料要求和来源等。</w:t>
      </w:r>
    </w:p>
    <w:p w14:paraId="51693918">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（2）汇总编辑</w:t>
      </w:r>
    </w:p>
    <w:p w14:paraId="061DE898">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说明生态环境状况公报汇总编辑的基本要求，包括分类汇总、文字、图、表的编辑，数据缺失及补充，形成生态环境状况公报草稿等。</w:t>
      </w:r>
    </w:p>
    <w:p w14:paraId="1525147C">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（3）校对初审</w:t>
      </w:r>
    </w:p>
    <w:p w14:paraId="358B6542">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说明生态环境状况公报校对初审的基本要求，包括初审范围，初审过程中重点关注的内容等。</w:t>
      </w:r>
    </w:p>
    <w:p w14:paraId="7DA911D4">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（4）排版制作</w:t>
      </w:r>
    </w:p>
    <w:p w14:paraId="3AC5A86C">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说明生态环境状况公报排版制作的基本要求，包括各部分文字、图、表等进行统一排版制作，版式设计要求等。</w:t>
      </w:r>
    </w:p>
    <w:p w14:paraId="7E74FECB">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（5）公报复审</w:t>
      </w:r>
    </w:p>
    <w:p w14:paraId="2EE1275F">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说明生态环境状况公报复审的基本要求，包括交发布单位复审，记录复审意见等。</w:t>
      </w:r>
    </w:p>
    <w:p w14:paraId="6F30F139">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（6）修改完善</w:t>
      </w:r>
    </w:p>
    <w:p w14:paraId="2F6D1FCE">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说明生态环境状况公报复审的基本要求，包括根据意见和建议修改生态环境状况公报，修改过程中应注意的事项等。</w:t>
      </w:r>
    </w:p>
    <w:p w14:paraId="409445F8">
      <w:pP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（7）公报终审</w:t>
      </w:r>
    </w:p>
    <w:p w14:paraId="76D0B792">
      <w:pPr>
        <w:pStyle w:val="7"/>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说明生态环境状况公报终审的基本要求，包括终审单位，审核注意事项，审核后流程及要求等。</w:t>
      </w:r>
    </w:p>
    <w:p w14:paraId="5D56FB1D">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w:t>
      </w:r>
      <w:r>
        <w:rPr>
          <w:rFonts w:hint="eastAsia" w:cs="Times New Roman"/>
          <w:sz w:val="28"/>
          <w:szCs w:val="28"/>
          <w:lang w:val="en-US" w:eastAsia="zh-CN"/>
        </w:rPr>
        <w:t>8</w:t>
      </w:r>
      <w:r>
        <w:rPr>
          <w:rFonts w:hint="eastAsia" w:ascii="Times New Roman" w:hAnsi="Times New Roman" w:eastAsia="宋体" w:cs="Times New Roman"/>
          <w:sz w:val="28"/>
          <w:szCs w:val="28"/>
          <w:lang w:val="en-US" w:eastAsia="zh-CN"/>
        </w:rPr>
        <w:t>）印刷公报</w:t>
      </w:r>
    </w:p>
    <w:p w14:paraId="44E9A925">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说明生态环境状况公报印刷的基本要求，包括印刷要求，及印刷后检验要求等。</w:t>
      </w:r>
    </w:p>
    <w:p w14:paraId="300BC48E">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w:t>
      </w:r>
      <w:r>
        <w:rPr>
          <w:rFonts w:hint="eastAsia" w:cs="Times New Roman"/>
          <w:sz w:val="28"/>
          <w:szCs w:val="28"/>
          <w:lang w:val="en-US" w:eastAsia="zh-CN"/>
        </w:rPr>
        <w:t>9</w:t>
      </w:r>
      <w:r>
        <w:rPr>
          <w:rFonts w:hint="eastAsia" w:ascii="Times New Roman" w:hAnsi="Times New Roman" w:eastAsia="宋体" w:cs="Times New Roman"/>
          <w:sz w:val="28"/>
          <w:szCs w:val="28"/>
          <w:lang w:val="en-US" w:eastAsia="zh-CN"/>
        </w:rPr>
        <w:t>）对外发布</w:t>
      </w:r>
    </w:p>
    <w:p w14:paraId="36A895CB">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说明生态环境状况公报对外发布的基本要求，包括线上线</w:t>
      </w:r>
      <w:r>
        <w:rPr>
          <w:rFonts w:hint="eastAsia" w:cs="Times New Roman"/>
          <w:sz w:val="28"/>
          <w:szCs w:val="28"/>
          <w:lang w:val="en-US" w:eastAsia="zh-CN"/>
        </w:rPr>
        <w:t>下</w:t>
      </w:r>
      <w:r>
        <w:rPr>
          <w:rFonts w:hint="eastAsia" w:ascii="Times New Roman" w:hAnsi="Times New Roman" w:eastAsia="宋体" w:cs="Times New Roman"/>
          <w:sz w:val="28"/>
          <w:szCs w:val="28"/>
          <w:lang w:val="en-US" w:eastAsia="zh-CN"/>
        </w:rPr>
        <w:t>发布等。</w:t>
      </w:r>
    </w:p>
    <w:p w14:paraId="321ED448">
      <w:pPr>
        <w:pStyle w:val="5"/>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6</w:t>
      </w:r>
      <w:r>
        <w:rPr>
          <w:rFonts w:hint="eastAsia" w:cs="Times New Roman"/>
          <w:b/>
          <w:bCs/>
          <w:sz w:val="28"/>
          <w:szCs w:val="28"/>
          <w:lang w:val="en-US" w:eastAsia="zh-CN"/>
        </w:rPr>
        <w:t>.</w:t>
      </w:r>
      <w:r>
        <w:rPr>
          <w:rFonts w:hint="eastAsia" w:ascii="Times New Roman" w:hAnsi="Times New Roman" w:eastAsia="宋体" w:cs="Times New Roman"/>
          <w:b/>
          <w:bCs/>
          <w:sz w:val="28"/>
          <w:szCs w:val="28"/>
          <w:lang w:val="en-US" w:eastAsia="zh-CN"/>
        </w:rPr>
        <w:t>内容要求</w:t>
      </w:r>
    </w:p>
    <w:p w14:paraId="4614C3BB">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说明了封面、目录、正文（生态环境状况、措施与行动、大事记）、编写说明及封底等各部分的编制要求。</w:t>
      </w:r>
    </w:p>
    <w:p w14:paraId="6BAB2D2C">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（1）封面</w:t>
      </w:r>
    </w:p>
    <w:p w14:paraId="3CB0445C">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说明生态环境状况公报封面的基本要求，应包括生态环境状况公报的名称、发布单位、发布时间等内容。公报名称应由所公告的生态环境状况时段和行政区域范围要素组成。</w:t>
      </w:r>
    </w:p>
    <w:p w14:paraId="512FA42C">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（2）目录</w:t>
      </w:r>
    </w:p>
    <w:p w14:paraId="34C7D9FA">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目录为可选要素，可根据需要设置目录。</w:t>
      </w:r>
    </w:p>
    <w:p w14:paraId="3B4DE2FA">
      <w:pPr>
        <w:pStyle w:val="5"/>
        <w:rPr>
          <w:rFonts w:hint="eastAsia" w:ascii="Times New Roman" w:hAnsi="Times New Roman" w:eastAsia="宋体" w:cs="Times New Roman"/>
          <w:sz w:val="28"/>
          <w:szCs w:val="28"/>
          <w:lang w:val="en-US" w:eastAsia="zh-CN"/>
        </w:rPr>
      </w:pPr>
      <w:bookmarkStart w:id="53" w:name="_Toc106700760"/>
      <w:bookmarkStart w:id="54" w:name="_Toc102639016"/>
      <w:bookmarkStart w:id="55" w:name="_Toc1151"/>
      <w:bookmarkStart w:id="56" w:name="_Toc4939"/>
      <w:bookmarkStart w:id="57" w:name="_Toc18813"/>
      <w:bookmarkStart w:id="58" w:name="_Toc11859"/>
      <w:bookmarkStart w:id="59" w:name="_Toc16641"/>
      <w:bookmarkStart w:id="60" w:name="_Toc15380"/>
      <w:bookmarkStart w:id="61" w:name="_Toc13648"/>
      <w:bookmarkStart w:id="62" w:name="_Toc21140"/>
      <w:bookmarkStart w:id="63" w:name="_Toc14827"/>
      <w:bookmarkStart w:id="64" w:name="_Toc5850"/>
      <w:bookmarkStart w:id="65" w:name="_Toc13692"/>
      <w:bookmarkStart w:id="66" w:name="_Toc6221"/>
      <w:r>
        <w:rPr>
          <w:rFonts w:hint="eastAsia" w:ascii="Times New Roman" w:hAnsi="Times New Roman" w:eastAsia="宋体" w:cs="Times New Roman"/>
          <w:sz w:val="28"/>
          <w:szCs w:val="28"/>
          <w:lang w:val="en-US" w:eastAsia="zh-CN"/>
        </w:rPr>
        <w:t>（3）生态环境状况</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07B6A48">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生态环境状况的基本要求，应明确公告类型（年、季、月）及数据统计时段。应系统、客观、准确地反映报告期内大气环境、地表水环境、海洋环境、自然生态、声环境、辐射环境、应对气候变化等主要生态环境要素。应对各主要生态环境要素的时空分布特征及极值进行描述，并与常年值和历史值进行比较，说明偏离程度及可能原因。</w:t>
      </w:r>
    </w:p>
    <w:p w14:paraId="1EFC9236">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（4）措施与行动</w:t>
      </w:r>
    </w:p>
    <w:p w14:paraId="0AA9227C">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措施与行动的基本要求，应包括年度内为改善生态环境质量和解决环境问题所采取的各项生态环境保护工作开展情况。各项工作包括全省（全市或全县）生态环境保护总述、生态环境制度建设、环境污染防治监督管理、生态环境保护监察与执法、生态环境宣传教育、应对气候变化、服务企事业单位等情况并体现工作成果。</w:t>
      </w:r>
    </w:p>
    <w:p w14:paraId="79EB00F4">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（5）大事记</w:t>
      </w:r>
    </w:p>
    <w:p w14:paraId="68F098CC">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大事记的基本要求，应包括当年发生的上级生态环境部门或当地党委政府领导到本地调研情况、省级（市级或县级）生态环境部门开展的重要工作。大事记采用逐月按日记载全省（全市或全县）重要生态环境工作事务。</w:t>
      </w:r>
    </w:p>
    <w:p w14:paraId="1C03F4C3">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（6）编写说明</w:t>
      </w:r>
    </w:p>
    <w:p w14:paraId="17E49B09">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说明生态环境状况公报编写说明的基本要求，</w:t>
      </w:r>
      <w:r>
        <w:rPr>
          <w:rFonts w:hint="eastAsia" w:cs="Times New Roman"/>
          <w:sz w:val="28"/>
          <w:szCs w:val="28"/>
          <w:lang w:val="en-US" w:eastAsia="zh-CN"/>
        </w:rPr>
        <w:t>要求</w:t>
      </w:r>
      <w:r>
        <w:rPr>
          <w:rFonts w:hint="eastAsia" w:ascii="Times New Roman" w:hAnsi="Times New Roman" w:eastAsia="宋体" w:cs="Times New Roman"/>
          <w:sz w:val="28"/>
          <w:szCs w:val="28"/>
          <w:lang w:val="en-US" w:eastAsia="zh-CN"/>
        </w:rPr>
        <w:t>对公报中使用的资料来源、编制人员、审图号等信息给予必要说明。</w:t>
      </w:r>
    </w:p>
    <w:p w14:paraId="0D9445EA">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（7）封底</w:t>
      </w:r>
    </w:p>
    <w:p w14:paraId="11D753FB">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说明生态环境状况公报封底的基本要求，可注明生态环境状况公报发布单位的通讯地址、邮编、电话等相关信息。</w:t>
      </w:r>
    </w:p>
    <w:p w14:paraId="19BA40B2">
      <w:pPr>
        <w:pStyle w:val="5"/>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7</w:t>
      </w:r>
      <w:r>
        <w:rPr>
          <w:rFonts w:hint="eastAsia" w:cs="Times New Roman"/>
          <w:b/>
          <w:bCs/>
          <w:sz w:val="28"/>
          <w:szCs w:val="28"/>
          <w:lang w:val="en-US" w:eastAsia="zh-CN"/>
        </w:rPr>
        <w:t>.</w:t>
      </w:r>
      <w:r>
        <w:rPr>
          <w:rFonts w:hint="eastAsia" w:ascii="Times New Roman" w:hAnsi="Times New Roman" w:eastAsia="宋体" w:cs="Times New Roman"/>
          <w:b/>
          <w:bCs/>
          <w:sz w:val="28"/>
          <w:szCs w:val="28"/>
          <w:lang w:val="en-US" w:eastAsia="zh-CN"/>
        </w:rPr>
        <w:t>其他要求</w:t>
      </w:r>
    </w:p>
    <w:p w14:paraId="3D4C2928">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说明了资料来源、图、表、计量单位、标点等相关要求。</w:t>
      </w:r>
    </w:p>
    <w:p w14:paraId="0F93378A">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（1）资料来源</w:t>
      </w:r>
    </w:p>
    <w:p w14:paraId="2FCB4C16">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说明生态环境状况公报资料来源的基本要求，应来源于发布单位及发布单位同级别相关政府职能部门提供的各类生态环境状况相关数据资料。数据应科学、准确，经过质量控制。</w:t>
      </w:r>
    </w:p>
    <w:p w14:paraId="47F09F1B">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（2）图</w:t>
      </w:r>
    </w:p>
    <w:p w14:paraId="3BFCB82C">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说明生态环境状况公报图的基本要求，如果用图更有利于对生态环境状况公报正文理解，宜使用图。每幅图在正文中均应明确提及。对图的编号、图题进行了明确要求。</w:t>
      </w:r>
    </w:p>
    <w:p w14:paraId="21AD8786">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（3）表</w:t>
      </w:r>
    </w:p>
    <w:p w14:paraId="6FDA28BC">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说明生态环境状况公报表的基本要求，如果用表提供信息更有利于对生态环境状况公报正文说明，宜使用表。每张表在正文中均应明确提及。对表的编号、表题、表框进行了明确要求。</w:t>
      </w:r>
    </w:p>
    <w:p w14:paraId="5B48B2F2">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（4）计量单位</w:t>
      </w:r>
    </w:p>
    <w:p w14:paraId="13C7CDF6">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说明生态环境状况公报计量单位的基本要求，编制生态环境状况公报时的量、单位及其符号应按照GB 3100、GB 3101、GB 3102.1～3102.13的</w:t>
      </w:r>
      <w:bookmarkStart w:id="67" w:name="OLE_LINK2"/>
      <w:r>
        <w:rPr>
          <w:rFonts w:hint="eastAsia" w:ascii="Times New Roman" w:hAnsi="Times New Roman" w:eastAsia="宋体" w:cs="Times New Roman"/>
          <w:sz w:val="28"/>
          <w:szCs w:val="28"/>
          <w:lang w:val="en-US" w:eastAsia="zh-CN"/>
        </w:rPr>
        <w:t>相关</w:t>
      </w:r>
      <w:bookmarkEnd w:id="67"/>
      <w:r>
        <w:rPr>
          <w:rFonts w:hint="eastAsia" w:ascii="Times New Roman" w:hAnsi="Times New Roman" w:eastAsia="宋体" w:cs="Times New Roman"/>
          <w:sz w:val="28"/>
          <w:szCs w:val="28"/>
          <w:lang w:val="en-US" w:eastAsia="zh-CN"/>
        </w:rPr>
        <w:t>规定执行。</w:t>
      </w:r>
    </w:p>
    <w:p w14:paraId="22EA98BA">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（5）标点</w:t>
      </w:r>
    </w:p>
    <w:p w14:paraId="34FD60D1">
      <w:pPr>
        <w:pStyle w:val="5"/>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说明生态环境状况公报标点的基本要求，编制生态环境状况公报时标点符号应按照GB/T 15834的相关规定执行。</w:t>
      </w:r>
    </w:p>
    <w:p w14:paraId="557C6299">
      <w:pPr>
        <w:pStyle w:val="5"/>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8.附录A（资料性）生态环境状况公报编写</w:t>
      </w:r>
      <w:r>
        <w:rPr>
          <w:rFonts w:hint="eastAsia" w:cs="Times New Roman"/>
          <w:b/>
          <w:bCs/>
          <w:sz w:val="28"/>
          <w:szCs w:val="28"/>
          <w:lang w:val="en-US" w:eastAsia="zh-CN"/>
        </w:rPr>
        <w:t>参考</w:t>
      </w:r>
      <w:r>
        <w:rPr>
          <w:rFonts w:hint="eastAsia" w:ascii="Times New Roman" w:hAnsi="Times New Roman" w:eastAsia="宋体" w:cs="Times New Roman"/>
          <w:b/>
          <w:bCs/>
          <w:sz w:val="28"/>
          <w:szCs w:val="28"/>
          <w:lang w:val="en-US" w:eastAsia="zh-CN"/>
        </w:rPr>
        <w:t>提纲</w:t>
      </w:r>
    </w:p>
    <w:p w14:paraId="685E4317">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生态环境状况公报编写可根据当年度生态环境工作情况适当调整，并列出了参考提纲。</w:t>
      </w:r>
    </w:p>
    <w:p w14:paraId="667E0EB0">
      <w:pPr>
        <w:pStyle w:val="5"/>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9.附录B（资料性）生态环境状况公报重点内容编制示例</w:t>
      </w:r>
    </w:p>
    <w:p w14:paraId="2570116D">
      <w:pPr>
        <w:pStyle w:val="5"/>
        <w:rPr>
          <w:rFonts w:hint="default"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对大气环境、地表水环境、海洋环境、自然生态、声环境、辐射环境、应对气候变化等生态环境状况，以及措施与行动、大事记分别进行了举例说明。</w:t>
      </w:r>
    </w:p>
    <w:p w14:paraId="6FE8ED25">
      <w:pPr>
        <w:rPr>
          <w:rFonts w:hint="eastAsia"/>
          <w:lang w:val="en-US" w:eastAsia="zh-CN"/>
        </w:rPr>
      </w:pPr>
    </w:p>
    <w:p w14:paraId="5AFDB80E">
      <w:pPr>
        <w:pStyle w:val="5"/>
        <w:rPr>
          <w:rFonts w:hint="eastAsia"/>
          <w:lang w:val="en-US" w:eastAsia="zh-CN"/>
        </w:rPr>
      </w:pPr>
    </w:p>
    <w:p w14:paraId="6BCE2275">
      <w:pPr>
        <w:rPr>
          <w:rFonts w:hint="eastAsia"/>
          <w:lang w:val="en-US" w:eastAsia="zh-CN"/>
        </w:rPr>
      </w:pPr>
    </w:p>
    <w:p w14:paraId="2C3C7E3E">
      <w:pPr>
        <w:pStyle w:val="5"/>
        <w:rPr>
          <w:rFonts w:hint="eastAsia"/>
          <w:lang w:val="en-US" w:eastAsia="zh-CN"/>
        </w:rPr>
      </w:pPr>
    </w:p>
    <w:p w14:paraId="25A08AFE">
      <w:pPr>
        <w:rPr>
          <w:rFonts w:hint="eastAsia"/>
          <w:lang w:val="en-US" w:eastAsia="zh-CN"/>
        </w:rPr>
      </w:pPr>
    </w:p>
    <w:bookmarkEnd w:id="44"/>
    <w:p w14:paraId="57F46778">
      <w:pPr>
        <w:autoSpaceDE/>
        <w:autoSpaceDN/>
        <w:snapToGrid/>
        <w:spacing w:line="240" w:lineRule="auto"/>
        <w:ind w:firstLine="420" w:firstLineChars="200"/>
        <w:jc w:val="left"/>
        <w:rPr>
          <w:rFonts w:hint="eastAsia" w:ascii="宋体" w:hAnsi="宋体" w:eastAsia="宋体" w:cs="宋体"/>
          <w:sz w:val="21"/>
          <w:szCs w:val="21"/>
          <w:lang w:eastAsia="zh-CN"/>
        </w:rPr>
      </w:pPr>
    </w:p>
    <w:sectPr>
      <w:footerReference r:id="rId12"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C4201">
    <w:pPr>
      <w:pStyle w:val="13"/>
      <w:ind w:firstLine="360"/>
      <w:jc w:val="center"/>
    </w:pPr>
  </w:p>
  <w:p w14:paraId="17E67639">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9F59F">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080D9">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C6EA5">
    <w:pPr>
      <w:pStyle w:val="13"/>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931217">
                          <w:pPr>
                            <w:pStyle w:val="13"/>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4931217">
                    <w:pPr>
                      <w:pStyle w:val="13"/>
                    </w:pPr>
                    <w:r>
                      <w:fldChar w:fldCharType="begin"/>
                    </w:r>
                    <w:r>
                      <w:instrText xml:space="preserve"> PAGE  \* MERGEFORMAT </w:instrText>
                    </w:r>
                    <w:r>
                      <w:fldChar w:fldCharType="separate"/>
                    </w:r>
                    <w:r>
                      <w:t>II</w:t>
                    </w:r>
                    <w:r>
                      <w:fldChar w:fldCharType="end"/>
                    </w:r>
                  </w:p>
                </w:txbxContent>
              </v:textbox>
            </v:shape>
          </w:pict>
        </mc:Fallback>
      </mc:AlternateContent>
    </w:r>
  </w:p>
  <w:p w14:paraId="2B34F09A">
    <w:pPr>
      <w:pStyle w:val="1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24CDB">
    <w:pPr>
      <w:pStyle w:val="13"/>
      <w:ind w:firstLine="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AAF4F">
                          <w:pPr>
                            <w:pStyle w:val="1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xXU/0tAgAAVwQAAA4AAAAAAAAAAQAgAAAAHwEAAGRycy9lMm9Eb2MueG1sUEsFBgAAAAAG&#10;AAYAWQEAAL4FAAAAAA==&#10;">
              <v:fill on="f" focussize="0,0"/>
              <v:stroke on="f" weight="0.5pt"/>
              <v:imagedata o:title=""/>
              <o:lock v:ext="edit" aspectratio="f"/>
              <v:textbox inset="0mm,0mm,0mm,0mm" style="mso-fit-shape-to-text:t;">
                <w:txbxContent>
                  <w:p w14:paraId="2CFAAF4F">
                    <w:pPr>
                      <w:pStyle w:val="13"/>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txbxContent>
              </v:textbox>
            </v:shape>
          </w:pict>
        </mc:Fallback>
      </mc:AlternateContent>
    </w:r>
  </w:p>
  <w:p w14:paraId="627E9371">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DFDD7">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9AE2D">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6DDD5">
    <w:pPr>
      <w:ind w:firstLine="4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xYjk3Y2M5NDBkZTEwMDU0ZDUyNmIxYTQzMWNjZDAifQ=="/>
  </w:docVars>
  <w:rsids>
    <w:rsidRoot w:val="003625FE"/>
    <w:rsid w:val="00031D5D"/>
    <w:rsid w:val="000A302B"/>
    <w:rsid w:val="00145497"/>
    <w:rsid w:val="001B6E0E"/>
    <w:rsid w:val="001C68EC"/>
    <w:rsid w:val="001F143B"/>
    <w:rsid w:val="00253C35"/>
    <w:rsid w:val="002B6AF1"/>
    <w:rsid w:val="003625FE"/>
    <w:rsid w:val="00366087"/>
    <w:rsid w:val="003A0D52"/>
    <w:rsid w:val="004F6E94"/>
    <w:rsid w:val="005908B9"/>
    <w:rsid w:val="005922B1"/>
    <w:rsid w:val="005C6A04"/>
    <w:rsid w:val="005D7AA2"/>
    <w:rsid w:val="0065312C"/>
    <w:rsid w:val="0066340A"/>
    <w:rsid w:val="0069644B"/>
    <w:rsid w:val="00796836"/>
    <w:rsid w:val="009758ED"/>
    <w:rsid w:val="00A5009A"/>
    <w:rsid w:val="00A81A56"/>
    <w:rsid w:val="00B9492E"/>
    <w:rsid w:val="00C42DBD"/>
    <w:rsid w:val="00C9325B"/>
    <w:rsid w:val="00D67D68"/>
    <w:rsid w:val="00E26F7E"/>
    <w:rsid w:val="00E529F1"/>
    <w:rsid w:val="00E54983"/>
    <w:rsid w:val="00FC7A80"/>
    <w:rsid w:val="01DB71DC"/>
    <w:rsid w:val="02D55B34"/>
    <w:rsid w:val="0370106E"/>
    <w:rsid w:val="038760CB"/>
    <w:rsid w:val="03AA3AC2"/>
    <w:rsid w:val="04A14591"/>
    <w:rsid w:val="04DA53E1"/>
    <w:rsid w:val="058F4180"/>
    <w:rsid w:val="05E935DD"/>
    <w:rsid w:val="05FC78B8"/>
    <w:rsid w:val="05FD2355"/>
    <w:rsid w:val="07ED2710"/>
    <w:rsid w:val="081672BE"/>
    <w:rsid w:val="084D0C18"/>
    <w:rsid w:val="084F301C"/>
    <w:rsid w:val="08512C9F"/>
    <w:rsid w:val="08CD3FC6"/>
    <w:rsid w:val="08DB4AA5"/>
    <w:rsid w:val="09260E6D"/>
    <w:rsid w:val="0AA14F93"/>
    <w:rsid w:val="0AD01868"/>
    <w:rsid w:val="0AFF66DA"/>
    <w:rsid w:val="0C110191"/>
    <w:rsid w:val="0CAA5495"/>
    <w:rsid w:val="0D6C629D"/>
    <w:rsid w:val="0DCA0A87"/>
    <w:rsid w:val="0F2B2806"/>
    <w:rsid w:val="0F3B39E2"/>
    <w:rsid w:val="0FA20ABC"/>
    <w:rsid w:val="10212234"/>
    <w:rsid w:val="10943F35"/>
    <w:rsid w:val="1278644A"/>
    <w:rsid w:val="13050DF6"/>
    <w:rsid w:val="130855E3"/>
    <w:rsid w:val="13D321C7"/>
    <w:rsid w:val="14696D47"/>
    <w:rsid w:val="14C0559C"/>
    <w:rsid w:val="15C96738"/>
    <w:rsid w:val="16B031B9"/>
    <w:rsid w:val="16BFD5C3"/>
    <w:rsid w:val="171D4C8E"/>
    <w:rsid w:val="17567C1E"/>
    <w:rsid w:val="178130B9"/>
    <w:rsid w:val="17DA31D7"/>
    <w:rsid w:val="17E70A76"/>
    <w:rsid w:val="18C71A91"/>
    <w:rsid w:val="195F5C15"/>
    <w:rsid w:val="19ED3A82"/>
    <w:rsid w:val="1A050EBC"/>
    <w:rsid w:val="1A6B57F9"/>
    <w:rsid w:val="1AA310A3"/>
    <w:rsid w:val="1AA838E3"/>
    <w:rsid w:val="1BB22CB6"/>
    <w:rsid w:val="1D0C501E"/>
    <w:rsid w:val="1D1472FB"/>
    <w:rsid w:val="1D5B100A"/>
    <w:rsid w:val="1E070D5B"/>
    <w:rsid w:val="1E102D52"/>
    <w:rsid w:val="1F0854CF"/>
    <w:rsid w:val="1F45089C"/>
    <w:rsid w:val="1F5139C0"/>
    <w:rsid w:val="1F663973"/>
    <w:rsid w:val="1F7673F4"/>
    <w:rsid w:val="1F7D53EB"/>
    <w:rsid w:val="1F9D083C"/>
    <w:rsid w:val="1FF037B0"/>
    <w:rsid w:val="1FF32FF1"/>
    <w:rsid w:val="1FF62DA6"/>
    <w:rsid w:val="202D67AF"/>
    <w:rsid w:val="216376C2"/>
    <w:rsid w:val="21BF1FD2"/>
    <w:rsid w:val="235E3715"/>
    <w:rsid w:val="23BB021B"/>
    <w:rsid w:val="23CA2FF6"/>
    <w:rsid w:val="2421036D"/>
    <w:rsid w:val="24607E62"/>
    <w:rsid w:val="24B533C3"/>
    <w:rsid w:val="25366B71"/>
    <w:rsid w:val="255078EB"/>
    <w:rsid w:val="257A33B0"/>
    <w:rsid w:val="26A64517"/>
    <w:rsid w:val="27283314"/>
    <w:rsid w:val="27D95552"/>
    <w:rsid w:val="27FD5F13"/>
    <w:rsid w:val="29090AE6"/>
    <w:rsid w:val="294B2644"/>
    <w:rsid w:val="296A5517"/>
    <w:rsid w:val="2B8466B8"/>
    <w:rsid w:val="2C48777D"/>
    <w:rsid w:val="2DB85652"/>
    <w:rsid w:val="2DBD74A5"/>
    <w:rsid w:val="2DDD0FD4"/>
    <w:rsid w:val="2DE83936"/>
    <w:rsid w:val="2F0E0C72"/>
    <w:rsid w:val="301E77E7"/>
    <w:rsid w:val="30790A15"/>
    <w:rsid w:val="31957131"/>
    <w:rsid w:val="31AE45E1"/>
    <w:rsid w:val="32103F22"/>
    <w:rsid w:val="331C26D1"/>
    <w:rsid w:val="33DF1755"/>
    <w:rsid w:val="352935E1"/>
    <w:rsid w:val="35C6037F"/>
    <w:rsid w:val="35CF72DF"/>
    <w:rsid w:val="36DC7F5B"/>
    <w:rsid w:val="37AF464E"/>
    <w:rsid w:val="37C111E4"/>
    <w:rsid w:val="37CA7EF6"/>
    <w:rsid w:val="38015C7F"/>
    <w:rsid w:val="38944CD6"/>
    <w:rsid w:val="38992606"/>
    <w:rsid w:val="38CA2958"/>
    <w:rsid w:val="38D713B0"/>
    <w:rsid w:val="39116A29"/>
    <w:rsid w:val="39395606"/>
    <w:rsid w:val="39627FB8"/>
    <w:rsid w:val="3A2D7B5E"/>
    <w:rsid w:val="3B3540A8"/>
    <w:rsid w:val="3B9E7999"/>
    <w:rsid w:val="3BE0182A"/>
    <w:rsid w:val="3C7C664D"/>
    <w:rsid w:val="3CBC6AE4"/>
    <w:rsid w:val="3CE52D8B"/>
    <w:rsid w:val="3EC70E17"/>
    <w:rsid w:val="3EDB943C"/>
    <w:rsid w:val="3EFA76FE"/>
    <w:rsid w:val="3FDE0395"/>
    <w:rsid w:val="40325944"/>
    <w:rsid w:val="40425A3C"/>
    <w:rsid w:val="41173D21"/>
    <w:rsid w:val="4125649B"/>
    <w:rsid w:val="41B21C98"/>
    <w:rsid w:val="41DF2EA3"/>
    <w:rsid w:val="41E87285"/>
    <w:rsid w:val="43416B84"/>
    <w:rsid w:val="4351563D"/>
    <w:rsid w:val="439B6EB5"/>
    <w:rsid w:val="444B604F"/>
    <w:rsid w:val="449A1EBB"/>
    <w:rsid w:val="44B00A4C"/>
    <w:rsid w:val="44FD4ADE"/>
    <w:rsid w:val="451D2F33"/>
    <w:rsid w:val="45CA6D63"/>
    <w:rsid w:val="46945A20"/>
    <w:rsid w:val="46D6247F"/>
    <w:rsid w:val="46FB4A87"/>
    <w:rsid w:val="46FD78CF"/>
    <w:rsid w:val="476F2C1C"/>
    <w:rsid w:val="478865FF"/>
    <w:rsid w:val="481A1111"/>
    <w:rsid w:val="48327AA9"/>
    <w:rsid w:val="48AF2839"/>
    <w:rsid w:val="491979CC"/>
    <w:rsid w:val="495B0D00"/>
    <w:rsid w:val="49645D4F"/>
    <w:rsid w:val="49781ABF"/>
    <w:rsid w:val="49FD6007"/>
    <w:rsid w:val="4A842E0B"/>
    <w:rsid w:val="4ACB6A40"/>
    <w:rsid w:val="4B97142B"/>
    <w:rsid w:val="4C0160D7"/>
    <w:rsid w:val="4C863300"/>
    <w:rsid w:val="4D2E0C96"/>
    <w:rsid w:val="4D6004DB"/>
    <w:rsid w:val="4D7144CD"/>
    <w:rsid w:val="4EA70901"/>
    <w:rsid w:val="4EB706B7"/>
    <w:rsid w:val="4F22483D"/>
    <w:rsid w:val="4FB3095A"/>
    <w:rsid w:val="50CA6C09"/>
    <w:rsid w:val="50DE2C36"/>
    <w:rsid w:val="514957A5"/>
    <w:rsid w:val="52061CBF"/>
    <w:rsid w:val="52650F75"/>
    <w:rsid w:val="52663BE3"/>
    <w:rsid w:val="5287175F"/>
    <w:rsid w:val="52F84B08"/>
    <w:rsid w:val="52F947FA"/>
    <w:rsid w:val="5300149C"/>
    <w:rsid w:val="53403596"/>
    <w:rsid w:val="54525794"/>
    <w:rsid w:val="54C239F2"/>
    <w:rsid w:val="54EF48A5"/>
    <w:rsid w:val="55342C1F"/>
    <w:rsid w:val="553E2707"/>
    <w:rsid w:val="555566A6"/>
    <w:rsid w:val="55FD289B"/>
    <w:rsid w:val="55FE7BFD"/>
    <w:rsid w:val="56376D5A"/>
    <w:rsid w:val="56D96FDC"/>
    <w:rsid w:val="56F64910"/>
    <w:rsid w:val="58257077"/>
    <w:rsid w:val="58542708"/>
    <w:rsid w:val="587C7473"/>
    <w:rsid w:val="59EC2395"/>
    <w:rsid w:val="5A253909"/>
    <w:rsid w:val="5B415149"/>
    <w:rsid w:val="5B654414"/>
    <w:rsid w:val="5BB46EF0"/>
    <w:rsid w:val="5BCF4C91"/>
    <w:rsid w:val="5CD46195"/>
    <w:rsid w:val="5CF728EB"/>
    <w:rsid w:val="5D4C730A"/>
    <w:rsid w:val="5D4F3AC6"/>
    <w:rsid w:val="5DA72FFF"/>
    <w:rsid w:val="5DE031E7"/>
    <w:rsid w:val="5EBA45A2"/>
    <w:rsid w:val="5ED443B2"/>
    <w:rsid w:val="5F5E301F"/>
    <w:rsid w:val="5FF255BB"/>
    <w:rsid w:val="5FF6617D"/>
    <w:rsid w:val="60C146AB"/>
    <w:rsid w:val="616436F3"/>
    <w:rsid w:val="61B20D73"/>
    <w:rsid w:val="61CF2FAC"/>
    <w:rsid w:val="61E57FB7"/>
    <w:rsid w:val="620D0105"/>
    <w:rsid w:val="625131E5"/>
    <w:rsid w:val="62712C12"/>
    <w:rsid w:val="62AD6ADB"/>
    <w:rsid w:val="630060EB"/>
    <w:rsid w:val="65070B0D"/>
    <w:rsid w:val="658E5D36"/>
    <w:rsid w:val="659C52A1"/>
    <w:rsid w:val="66054412"/>
    <w:rsid w:val="6695663C"/>
    <w:rsid w:val="676C6F39"/>
    <w:rsid w:val="67D86DB3"/>
    <w:rsid w:val="67DD0FCE"/>
    <w:rsid w:val="691B68D3"/>
    <w:rsid w:val="6A3E6AE5"/>
    <w:rsid w:val="6A8C74B1"/>
    <w:rsid w:val="6AB22B06"/>
    <w:rsid w:val="6AD7454D"/>
    <w:rsid w:val="6C096387"/>
    <w:rsid w:val="6D2B0388"/>
    <w:rsid w:val="6D741701"/>
    <w:rsid w:val="6D7A29DD"/>
    <w:rsid w:val="706E37D5"/>
    <w:rsid w:val="70AD723C"/>
    <w:rsid w:val="70AE06C4"/>
    <w:rsid w:val="70B6221A"/>
    <w:rsid w:val="70E32E71"/>
    <w:rsid w:val="71092931"/>
    <w:rsid w:val="71826DFD"/>
    <w:rsid w:val="71D92806"/>
    <w:rsid w:val="71FD4E21"/>
    <w:rsid w:val="72460A39"/>
    <w:rsid w:val="724A3D94"/>
    <w:rsid w:val="725C510E"/>
    <w:rsid w:val="731E2309"/>
    <w:rsid w:val="73A02DCB"/>
    <w:rsid w:val="74011D7B"/>
    <w:rsid w:val="752926BD"/>
    <w:rsid w:val="75BB4E7F"/>
    <w:rsid w:val="75E83B00"/>
    <w:rsid w:val="761F7A81"/>
    <w:rsid w:val="76251196"/>
    <w:rsid w:val="76407FE1"/>
    <w:rsid w:val="76E95BC7"/>
    <w:rsid w:val="77166C4D"/>
    <w:rsid w:val="77685689"/>
    <w:rsid w:val="77AF13B6"/>
    <w:rsid w:val="77C16217"/>
    <w:rsid w:val="77DB79A7"/>
    <w:rsid w:val="78525467"/>
    <w:rsid w:val="79781F2E"/>
    <w:rsid w:val="79E0657C"/>
    <w:rsid w:val="7A303538"/>
    <w:rsid w:val="7A351A00"/>
    <w:rsid w:val="7A6B7639"/>
    <w:rsid w:val="7A933173"/>
    <w:rsid w:val="7B4B3A4E"/>
    <w:rsid w:val="7B79054D"/>
    <w:rsid w:val="7BB54BAB"/>
    <w:rsid w:val="7BEB379B"/>
    <w:rsid w:val="7C0E639A"/>
    <w:rsid w:val="7CA0796D"/>
    <w:rsid w:val="7DB939D1"/>
    <w:rsid w:val="7DEC2144"/>
    <w:rsid w:val="7EDB5A26"/>
    <w:rsid w:val="7EFA4B40"/>
    <w:rsid w:val="7F79865F"/>
    <w:rsid w:val="7FE6ECC0"/>
    <w:rsid w:val="7FF001D0"/>
    <w:rsid w:val="7FFF7948"/>
    <w:rsid w:val="EFFBC6E1"/>
    <w:rsid w:val="EFFEC096"/>
    <w:rsid w:val="F35B93E6"/>
    <w:rsid w:val="F3A3792D"/>
    <w:rsid w:val="FEFC172A"/>
    <w:rsid w:val="FEFED963"/>
    <w:rsid w:val="FEFFD887"/>
    <w:rsid w:val="FFF2C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4"/>
    <w:qFormat/>
    <w:uiPriority w:val="9"/>
    <w:pPr>
      <w:keepNext/>
      <w:keepLines/>
    </w:pPr>
    <w:rPr>
      <w:kern w:val="44"/>
      <w:sz w:val="28"/>
      <w:szCs w:val="44"/>
    </w:rPr>
  </w:style>
  <w:style w:type="paragraph" w:styleId="3">
    <w:name w:val="heading 2"/>
    <w:basedOn w:val="1"/>
    <w:next w:val="1"/>
    <w:link w:val="25"/>
    <w:unhideWhenUsed/>
    <w:qFormat/>
    <w:uiPriority w:val="9"/>
    <w:pPr>
      <w:keepNext/>
      <w:keepLines/>
      <w:ind w:firstLine="0" w:firstLineChars="0"/>
      <w:outlineLvl w:val="1"/>
    </w:pPr>
    <w:rPr>
      <w:rFonts w:eastAsia="黑体" w:cstheme="majorBidi"/>
      <w:b/>
      <w:bCs/>
      <w:szCs w:val="32"/>
    </w:rPr>
  </w:style>
  <w:style w:type="paragraph" w:styleId="4">
    <w:name w:val="heading 3"/>
    <w:basedOn w:val="1"/>
    <w:next w:val="1"/>
    <w:unhideWhenUsed/>
    <w:qFormat/>
    <w:uiPriority w:val="9"/>
    <w:pPr>
      <w:keepNext/>
      <w:keepLines/>
      <w:ind w:firstLine="0" w:firstLineChars="0"/>
      <w:outlineLvl w:val="2"/>
    </w:pPr>
    <w:rPr>
      <w:rFonts w:eastAsia="黑体"/>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0"/>
    <w:pPr>
      <w:ind w:firstLine="420"/>
    </w:pPr>
  </w:style>
  <w:style w:type="paragraph" w:styleId="6">
    <w:name w:val="annotation text"/>
    <w:basedOn w:val="1"/>
    <w:qFormat/>
    <w:uiPriority w:val="0"/>
    <w:pPr>
      <w:jc w:val="left"/>
    </w:pPr>
  </w:style>
  <w:style w:type="paragraph" w:styleId="7">
    <w:name w:val="Body Text"/>
    <w:basedOn w:val="1"/>
    <w:next w:val="8"/>
    <w:qFormat/>
    <w:uiPriority w:val="0"/>
    <w:pPr>
      <w:spacing w:after="120" w:afterLines="0"/>
    </w:pPr>
  </w:style>
  <w:style w:type="paragraph" w:styleId="8">
    <w:name w:val="Title"/>
    <w:basedOn w:val="1"/>
    <w:next w:val="1"/>
    <w:qFormat/>
    <w:uiPriority w:val="0"/>
    <w:pPr>
      <w:spacing w:before="120" w:after="120"/>
      <w:ind w:firstLine="0" w:firstLineChars="0"/>
      <w:jc w:val="left"/>
      <w:outlineLvl w:val="0"/>
    </w:pPr>
    <w:rPr>
      <w:rFonts w:eastAsia="黑体" w:cstheme="majorBidi"/>
      <w:b/>
      <w:bCs/>
      <w:sz w:val="32"/>
      <w:szCs w:val="32"/>
    </w:rPr>
  </w:style>
  <w:style w:type="paragraph" w:styleId="9">
    <w:name w:val="Body Text Indent"/>
    <w:basedOn w:val="1"/>
    <w:qFormat/>
    <w:uiPriority w:val="0"/>
    <w:pPr>
      <w:autoSpaceDE w:val="0"/>
      <w:autoSpaceDN w:val="0"/>
      <w:spacing w:line="360" w:lineRule="exact"/>
      <w:ind w:firstLine="480"/>
      <w:textAlignment w:val="baseline"/>
    </w:pPr>
    <w:rPr>
      <w:rFonts w:hAnsi="宋体"/>
    </w:rPr>
  </w:style>
  <w:style w:type="paragraph" w:styleId="10">
    <w:name w:val="toc 3"/>
    <w:basedOn w:val="1"/>
    <w:next w:val="1"/>
    <w:unhideWhenUsed/>
    <w:qFormat/>
    <w:uiPriority w:val="39"/>
    <w:pPr>
      <w:ind w:left="840" w:leftChars="400"/>
    </w:pPr>
  </w:style>
  <w:style w:type="paragraph" w:styleId="11">
    <w:name w:val="Plain Text"/>
    <w:basedOn w:val="1"/>
    <w:qFormat/>
    <w:uiPriority w:val="0"/>
    <w:rPr>
      <w:rFonts w:ascii="宋体" w:hAnsi="Courier New"/>
    </w:rPr>
  </w:style>
  <w:style w:type="paragraph" w:styleId="12">
    <w:name w:val="Balloon Text"/>
    <w:basedOn w:val="1"/>
    <w:link w:val="28"/>
    <w:semiHidden/>
    <w:unhideWhenUsed/>
    <w:qFormat/>
    <w:uiPriority w:val="99"/>
    <w:pPr>
      <w:spacing w:line="240" w:lineRule="auto"/>
    </w:pPr>
    <w:rPr>
      <w:sz w:val="18"/>
      <w:szCs w:val="18"/>
    </w:rPr>
  </w:style>
  <w:style w:type="paragraph" w:styleId="13">
    <w:name w:val="footer"/>
    <w:basedOn w:val="1"/>
    <w:link w:val="27"/>
    <w:unhideWhenUsed/>
    <w:qFormat/>
    <w:uiPriority w:val="99"/>
    <w:pPr>
      <w:tabs>
        <w:tab w:val="center" w:pos="4153"/>
        <w:tab w:val="right" w:pos="8306"/>
      </w:tabs>
      <w:adjustRightInd/>
      <w:spacing w:line="240" w:lineRule="auto"/>
      <w:ind w:firstLine="0" w:firstLineChars="0"/>
      <w:jc w:val="left"/>
    </w:pPr>
    <w:rPr>
      <w:rFonts w:asciiTheme="minorHAnsi" w:hAnsiTheme="minorHAnsi" w:eastAsiaTheme="minorEastAsia"/>
      <w:sz w:val="18"/>
      <w:szCs w:val="18"/>
    </w:rPr>
  </w:style>
  <w:style w:type="paragraph" w:styleId="14">
    <w:name w:val="header"/>
    <w:basedOn w:val="1"/>
    <w:link w:val="26"/>
    <w:unhideWhenUsed/>
    <w:qFormat/>
    <w:uiPriority w:val="99"/>
    <w:pPr>
      <w:pBdr>
        <w:bottom w:val="single" w:color="auto" w:sz="6" w:space="1"/>
      </w:pBdr>
      <w:tabs>
        <w:tab w:val="center" w:pos="4153"/>
        <w:tab w:val="right" w:pos="8306"/>
      </w:tabs>
      <w:adjustRightInd/>
      <w:spacing w:line="240" w:lineRule="auto"/>
      <w:ind w:firstLine="0" w:firstLineChars="0"/>
      <w:jc w:val="center"/>
    </w:pPr>
    <w:rPr>
      <w:rFonts w:asciiTheme="minorHAnsi" w:hAnsiTheme="minorHAnsi" w:eastAsiaTheme="minorEastAsia"/>
      <w:sz w:val="18"/>
      <w:szCs w:val="18"/>
    </w:rPr>
  </w:style>
  <w:style w:type="paragraph" w:styleId="15">
    <w:name w:val="toc 1"/>
    <w:basedOn w:val="1"/>
    <w:next w:val="1"/>
    <w:unhideWhenUsed/>
    <w:qFormat/>
    <w:uiPriority w:val="39"/>
    <w:pPr>
      <w:tabs>
        <w:tab w:val="right" w:leader="dot" w:pos="8296"/>
      </w:tabs>
    </w:pPr>
    <w:rPr>
      <w:b/>
    </w:rPr>
  </w:style>
  <w:style w:type="paragraph" w:styleId="16">
    <w:name w:val="toc 2"/>
    <w:basedOn w:val="1"/>
    <w:next w:val="1"/>
    <w:unhideWhenUsed/>
    <w:qFormat/>
    <w:uiPriority w:val="39"/>
    <w:pPr>
      <w:ind w:left="420" w:leftChars="200"/>
    </w:pPr>
  </w:style>
  <w:style w:type="paragraph" w:styleId="17">
    <w:name w:val="Body Text 2"/>
    <w:basedOn w:val="1"/>
    <w:qFormat/>
    <w:uiPriority w:val="0"/>
    <w:pPr>
      <w:spacing w:after="120" w:line="480" w:lineRule="auto"/>
    </w:pPr>
    <w:rPr>
      <w:sz w:val="21"/>
      <w:szCs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qFormat/>
    <w:uiPriority w:val="0"/>
    <w:rPr>
      <w:sz w:val="21"/>
      <w:szCs w:val="21"/>
    </w:rPr>
  </w:style>
  <w:style w:type="paragraph" w:customStyle="1" w:styleId="2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4">
    <w:name w:val="标题 1 Char"/>
    <w:basedOn w:val="20"/>
    <w:link w:val="2"/>
    <w:qFormat/>
    <w:uiPriority w:val="9"/>
    <w:rPr>
      <w:rFonts w:ascii="Times New Roman" w:hAnsi="Times New Roman" w:eastAsia="黑体"/>
      <w:b/>
      <w:bCs/>
      <w:kern w:val="44"/>
      <w:sz w:val="28"/>
      <w:szCs w:val="44"/>
    </w:rPr>
  </w:style>
  <w:style w:type="character" w:customStyle="1" w:styleId="25">
    <w:name w:val="标题 2 Char"/>
    <w:basedOn w:val="20"/>
    <w:link w:val="3"/>
    <w:qFormat/>
    <w:uiPriority w:val="9"/>
    <w:rPr>
      <w:rFonts w:ascii="Times New Roman" w:hAnsi="Times New Roman" w:eastAsia="黑体" w:cstheme="majorBidi"/>
      <w:b/>
      <w:bCs/>
      <w:sz w:val="24"/>
      <w:szCs w:val="32"/>
    </w:rPr>
  </w:style>
  <w:style w:type="character" w:customStyle="1" w:styleId="26">
    <w:name w:val="页眉 Char"/>
    <w:basedOn w:val="20"/>
    <w:link w:val="14"/>
    <w:qFormat/>
    <w:uiPriority w:val="99"/>
    <w:rPr>
      <w:sz w:val="18"/>
      <w:szCs w:val="18"/>
    </w:rPr>
  </w:style>
  <w:style w:type="character" w:customStyle="1" w:styleId="27">
    <w:name w:val="页脚 Char"/>
    <w:basedOn w:val="20"/>
    <w:link w:val="13"/>
    <w:qFormat/>
    <w:uiPriority w:val="99"/>
    <w:rPr>
      <w:sz w:val="18"/>
      <w:szCs w:val="18"/>
    </w:rPr>
  </w:style>
  <w:style w:type="character" w:customStyle="1" w:styleId="28">
    <w:name w:val="批注框文本 Char"/>
    <w:basedOn w:val="20"/>
    <w:link w:val="12"/>
    <w:semiHidden/>
    <w:qFormat/>
    <w:uiPriority w:val="99"/>
    <w:rPr>
      <w:rFonts w:ascii="Times New Roman" w:hAnsi="Times New Roman" w:eastAsia="宋体"/>
      <w:sz w:val="18"/>
      <w:szCs w:val="18"/>
    </w:rPr>
  </w:style>
  <w:style w:type="paragraph" w:customStyle="1" w:styleId="29">
    <w:name w:val="普通正文_by Mirac"/>
    <w:basedOn w:val="1"/>
    <w:qFormat/>
    <w:uiPriority w:val="0"/>
    <w:pPr>
      <w:ind w:firstLine="480"/>
    </w:pPr>
    <w:rPr>
      <w:rFonts w:cs="宋体"/>
      <w:szCs w:val="20"/>
    </w:rPr>
  </w:style>
  <w:style w:type="character" w:customStyle="1" w:styleId="30">
    <w:name w:val="font31"/>
    <w:basedOn w:val="20"/>
    <w:qFormat/>
    <w:uiPriority w:val="0"/>
    <w:rPr>
      <w:rFonts w:hint="eastAsia" w:ascii="宋体" w:hAnsi="宋体" w:eastAsia="宋体" w:cs="宋体"/>
      <w:color w:val="000000"/>
      <w:sz w:val="21"/>
      <w:szCs w:val="21"/>
      <w:u w:val="none"/>
    </w:rPr>
  </w:style>
  <w:style w:type="character" w:customStyle="1" w:styleId="31">
    <w:name w:val="font11"/>
    <w:basedOn w:val="20"/>
    <w:qFormat/>
    <w:uiPriority w:val="0"/>
    <w:rPr>
      <w:rFonts w:hint="default" w:ascii="Times New Roman" w:hAnsi="Times New Roman" w:cs="Times New Roman"/>
      <w:color w:val="000000"/>
      <w:sz w:val="21"/>
      <w:szCs w:val="21"/>
      <w:u w:val="none"/>
    </w:rPr>
  </w:style>
  <w:style w:type="character" w:customStyle="1" w:styleId="32">
    <w:name w:val="font01"/>
    <w:basedOn w:val="20"/>
    <w:qFormat/>
    <w:uiPriority w:val="0"/>
    <w:rPr>
      <w:rFonts w:ascii="仿宋" w:hAnsi="仿宋" w:eastAsia="仿宋" w:cs="仿宋"/>
      <w:color w:val="000000"/>
      <w:sz w:val="21"/>
      <w:szCs w:val="21"/>
      <w:u w:val="none"/>
    </w:rPr>
  </w:style>
  <w:style w:type="paragraph" w:customStyle="1" w:styleId="33">
    <w:name w:val="Z表内文字"/>
    <w:basedOn w:val="1"/>
    <w:qFormat/>
    <w:uiPriority w:val="0"/>
    <w:pPr>
      <w:spacing w:line="360" w:lineRule="exact"/>
      <w:jc w:val="center"/>
    </w:pPr>
    <w:rPr>
      <w:kern w:val="0"/>
    </w:rPr>
  </w:style>
  <w:style w:type="paragraph" w:customStyle="1" w:styleId="34">
    <w:name w:val="00正文1-2字符"/>
    <w:basedOn w:val="1"/>
    <w:qFormat/>
    <w:uiPriority w:val="0"/>
    <w:rPr>
      <w:rFonts w:cs="宋体"/>
      <w:sz w:val="28"/>
      <w:szCs w:val="20"/>
    </w:rPr>
  </w:style>
  <w:style w:type="paragraph" w:customStyle="1" w:styleId="35">
    <w:name w:val="02标题003"/>
    <w:basedOn w:val="1"/>
    <w:qFormat/>
    <w:uiPriority w:val="0"/>
    <w:pPr>
      <w:keepNext/>
      <w:keepLines/>
      <w:adjustRightInd/>
      <w:spacing w:before="93" w:beforeLines="30" w:after="62" w:afterLines="20" w:line="312" w:lineRule="auto"/>
      <w:outlineLvl w:val="2"/>
    </w:pPr>
    <w:rPr>
      <w:rFonts w:hAnsi="宋体" w:eastAsia="黑体" w:cs="宋体"/>
      <w:b/>
      <w:bCs/>
      <w:sz w:val="30"/>
      <w:szCs w:val="20"/>
    </w:rPr>
  </w:style>
  <w:style w:type="paragraph" w:customStyle="1" w:styleId="36">
    <w:name w:val="小四缩进2"/>
    <w:basedOn w:val="1"/>
    <w:qFormat/>
    <w:uiPriority w:val="0"/>
    <w:rPr>
      <w:color w:val="000000"/>
      <w:szCs w:val="24"/>
    </w:rPr>
  </w:style>
  <w:style w:type="paragraph" w:customStyle="1" w:styleId="37">
    <w:name w:val="EndNote Bibliography"/>
    <w:basedOn w:val="1"/>
    <w:qFormat/>
    <w:uiPriority w:val="0"/>
    <w:pPr>
      <w:spacing w:line="240" w:lineRule="auto"/>
      <w:jc w:val="left"/>
    </w:pPr>
    <w:rPr>
      <w:rFonts w:cs="Times New Roman"/>
      <w:sz w:val="32"/>
    </w:rPr>
  </w:style>
  <w:style w:type="paragraph" w:customStyle="1" w:styleId="3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9">
    <w:name w:val="标准文件_二级条标题"/>
    <w:next w:val="38"/>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40">
    <w:name w:val="标准文件_一级条标题"/>
    <w:basedOn w:val="41"/>
    <w:next w:val="38"/>
    <w:qFormat/>
    <w:uiPriority w:val="0"/>
    <w:pPr>
      <w:spacing w:before="50" w:beforeLines="50" w:after="50" w:afterLines="50"/>
      <w:ind w:left="0"/>
      <w:outlineLvl w:val="1"/>
    </w:pPr>
  </w:style>
  <w:style w:type="paragraph" w:customStyle="1" w:styleId="41">
    <w:name w:val="标准文件_章标题"/>
    <w:next w:val="38"/>
    <w:qFormat/>
    <w:uiPriority w:val="0"/>
    <w:pPr>
      <w:spacing w:before="100" w:beforeLines="100" w:after="100" w:afterLines="100"/>
      <w:ind w:left="1277"/>
      <w:jc w:val="both"/>
      <w:outlineLvl w:val="0"/>
    </w:pPr>
    <w:rPr>
      <w:rFonts w:ascii="黑体" w:hAnsi="Times New Roman" w:eastAsia="黑体" w:cs="Times New Roman"/>
      <w:sz w:val="21"/>
      <w:lang w:val="en-US" w:eastAsia="zh-CN" w:bidi="ar-SA"/>
    </w:rPr>
  </w:style>
  <w:style w:type="paragraph" w:customStyle="1" w:styleId="42">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6155</Words>
  <Characters>6441</Characters>
  <Lines>153</Lines>
  <Paragraphs>43</Paragraphs>
  <TotalTime>3</TotalTime>
  <ScaleCrop>false</ScaleCrop>
  <LinksUpToDate>false</LinksUpToDate>
  <CharactersWithSpaces>6536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2021-10-11T20:54:00Z</dcterms:created>
  <dc:creator>ZJMHT</dc:creator>
  <cp:lastModifiedBy>啊哈哈哈</cp:lastModifiedBy>
  <dcterms:modified xsi:type="dcterms:W3CDTF">2025-08-11T03:42:40Z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C089FF8DCC0349F097F32D23CD752646_13</vt:lpwstr>
  </property>
  <property fmtid="{D5CDD505-2E9C-101B-9397-08002B2CF9AE}" pid="4" name="KSOTemplateDocerSaveRecord">
    <vt:lpwstr>eyJoZGlkIjoiN2YwYzkxYTU5NTBhYzc5ZThkODA5YWFmNWM5N2JiNjUiLCJ1c2VySWQiOiIzMDkwNzM4MTYifQ==</vt:lpwstr>
  </property>
</Properties>
</file>